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附件</w:t>
      </w:r>
    </w:p>
    <w:p>
      <w:pPr>
        <w:spacing w:line="560" w:lineRule="exact"/>
        <w:jc w:val="both"/>
        <w:rPr>
          <w:rFonts w:hint="eastAsia" w:ascii="仿宋_GB2312" w:hAnsi="仿宋_GB2312" w:eastAsia="仿宋_GB2312" w:cs="仿宋_GB2312"/>
          <w:sz w:val="32"/>
          <w:szCs w:val="32"/>
          <w:lang w:val="en-US" w:eastAsia="zh-CN"/>
        </w:rPr>
      </w:pPr>
    </w:p>
    <w:p>
      <w:pPr>
        <w:spacing w:line="560" w:lineRule="exact"/>
        <w:jc w:val="center"/>
        <w:rPr>
          <w:rFonts w:hint="eastAsia" w:ascii="方正小标宋_GBK" w:hAnsi="方正小标宋_GBK" w:eastAsia="方正小标宋_GBK" w:cs="方正小标宋_GBK"/>
          <w:sz w:val="44"/>
          <w:szCs w:val="52"/>
        </w:rPr>
      </w:pP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rPr>
        <w:t>江门市新兴产业和未来产业发展“十五五”规划</w:t>
      </w: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52"/>
        </w:rPr>
        <w:t>公开征求意见汇总表</w:t>
      </w:r>
    </w:p>
    <w:p>
      <w:pPr>
        <w:spacing w:line="560" w:lineRule="exact"/>
        <w:jc w:val="center"/>
        <w:rPr>
          <w:rFonts w:hint="default" w:ascii="楷体" w:hAnsi="楷体" w:eastAsia="楷体" w:cs="楷体"/>
          <w:sz w:val="32"/>
          <w:szCs w:val="32"/>
          <w:lang w:val="en-US" w:eastAsia="zh-CN"/>
        </w:rPr>
      </w:pPr>
    </w:p>
    <w:tbl>
      <w:tblPr>
        <w:tblStyle w:val="9"/>
        <w:tblW w:w="156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62"/>
        <w:gridCol w:w="12565"/>
        <w:gridCol w:w="2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90" w:hRule="atLeast"/>
          <w:tblHeader/>
          <w:jc w:val="center"/>
        </w:trPr>
        <w:tc>
          <w:tcPr>
            <w:tcW w:w="662"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b w:val="0"/>
                <w:color w:val="000000"/>
                <w:sz w:val="21"/>
                <w:szCs w:val="21"/>
                <w:shd w:val="clear" w:color="auto" w:fill="auto"/>
                <w:lang w:eastAsia="zh-CN"/>
              </w:rPr>
            </w:pPr>
            <w:r>
              <w:rPr>
                <w:rFonts w:hint="default" w:ascii="Times New Roman" w:hAnsi="Times New Roman" w:eastAsia="黑体" w:cs="Times New Roman"/>
                <w:b w:val="0"/>
                <w:color w:val="000000"/>
                <w:sz w:val="21"/>
                <w:szCs w:val="21"/>
                <w:shd w:val="clear" w:color="auto" w:fill="auto"/>
                <w:lang w:eastAsia="zh-CN"/>
              </w:rPr>
              <w:t>序号</w:t>
            </w:r>
          </w:p>
        </w:tc>
        <w:tc>
          <w:tcPr>
            <w:tcW w:w="125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b w:val="0"/>
                <w:color w:val="000000"/>
                <w:sz w:val="21"/>
                <w:szCs w:val="21"/>
                <w:shd w:val="clear" w:color="auto" w:fill="auto"/>
              </w:rPr>
            </w:pPr>
            <w:r>
              <w:rPr>
                <w:rFonts w:hint="default" w:ascii="Times New Roman" w:hAnsi="Times New Roman" w:eastAsia="黑体" w:cs="Times New Roman"/>
                <w:b w:val="0"/>
                <w:color w:val="000000"/>
                <w:sz w:val="21"/>
                <w:szCs w:val="21"/>
                <w:shd w:val="clear" w:color="auto" w:fill="auto"/>
              </w:rPr>
              <w:t>具体意见</w:t>
            </w:r>
          </w:p>
        </w:tc>
        <w:tc>
          <w:tcPr>
            <w:tcW w:w="23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黑体" w:cs="Times New Roman"/>
                <w:b w:val="0"/>
                <w:color w:val="000000"/>
                <w:sz w:val="21"/>
                <w:szCs w:val="21"/>
                <w:shd w:val="clear" w:color="auto" w:fill="auto"/>
              </w:rPr>
            </w:pPr>
            <w:r>
              <w:rPr>
                <w:rFonts w:hint="default" w:ascii="Times New Roman" w:hAnsi="Times New Roman" w:eastAsia="黑体" w:cs="Times New Roman"/>
                <w:b w:val="0"/>
                <w:color w:val="000000"/>
                <w:sz w:val="21"/>
                <w:szCs w:val="21"/>
                <w:shd w:val="clear" w:color="auto" w:fill="auto"/>
              </w:rPr>
              <w:t>采纳情况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val="0"/>
                <w:color w:val="000000"/>
                <w:sz w:val="21"/>
                <w:szCs w:val="21"/>
                <w:shd w:val="clear" w:color="auto" w:fill="auto"/>
                <w:lang w:val="en-US" w:eastAsia="zh-CN"/>
              </w:rPr>
            </w:pPr>
            <w:r>
              <w:rPr>
                <w:rFonts w:hint="default" w:ascii="Times New Roman" w:hAnsi="Times New Roman" w:eastAsia="仿宋_GB2312" w:cs="Times New Roman"/>
                <w:b w:val="0"/>
                <w:color w:val="000000"/>
                <w:sz w:val="21"/>
                <w:szCs w:val="21"/>
                <w:shd w:val="clear" w:color="auto" w:fill="auto"/>
                <w:lang w:val="en-US" w:eastAsia="zh-CN"/>
              </w:rPr>
              <w:t>1</w:t>
            </w:r>
          </w:p>
        </w:tc>
        <w:tc>
          <w:tcPr>
            <w:tcW w:w="125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Times New Roman" w:hAnsi="Times New Roman" w:eastAsia="仿宋_GB2312" w:cs="Times New Roman"/>
                <w:b w:val="0"/>
                <w:color w:val="000000"/>
                <w:sz w:val="21"/>
                <w:szCs w:val="21"/>
                <w:shd w:val="clear" w:color="auto" w:fill="auto"/>
                <w:lang w:val="en-US" w:eastAsia="zh-CN"/>
              </w:rPr>
            </w:pPr>
            <w:r>
              <w:rPr>
                <w:rFonts w:hint="default" w:ascii="Times New Roman" w:hAnsi="Times New Roman" w:eastAsia="仿宋_GB2312" w:cs="Times New Roman"/>
                <w:b w:val="0"/>
                <w:color w:val="000000"/>
                <w:sz w:val="21"/>
                <w:szCs w:val="21"/>
                <w:shd w:val="clear" w:color="auto" w:fill="auto"/>
                <w:lang w:val="en-US" w:eastAsia="zh-CN"/>
              </w:rPr>
              <w:t>“十五五”时期（2026—2030年），是江门市深入贯彻新发展理念、服务融入新发展格局，全力建设万亿工业强市、打造粤港澳大湾区新增长极的关键阶段。作为粤港澳大湾区重要节点城市和沿海经济带的江海门户，江门拥有扎实的制造业根基、广阔的产业空间和优越的区位交通条件。“十四五”以来，全市深入实施“工业振兴”“园区再造”工程，以新一代电子信息、新能源、先进装备制造为代表的“两新一先”产业加速崛起，中创新航等龙头企业带动形成完整产业链，新能源电池及新型储能、安全应急与环保等产业优势持续巩固，低空经济、人工智能与机器人等未来产业实现破局起势，为“十五五”时期培育发展新质生产力、构建现代化产业体系奠定了坚实基础。同时，面对全球科技革命和产业变革加速演进、区域竞争日趋激烈的新形势，江门市新兴产业仍存在创新能力不足、产业链高端环节薄弱、龙头企业数量偏少、产业集群能级不高、未来产业布局深度不够等短板弱项。为抢抓战略机遇、厚植发展优势，加快推动新兴产业发展壮大、未来产业前瞻布局，锻造经济发展新引擎，特制定本规划。</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Times New Roman" w:hAnsi="Times New Roman" w:eastAsia="仿宋_GB2312" w:cs="Times New Roman"/>
                <w:b w:val="0"/>
                <w:color w:val="000000"/>
                <w:sz w:val="21"/>
                <w:szCs w:val="21"/>
                <w:shd w:val="clear" w:color="auto" w:fill="auto"/>
                <w:lang w:val="en-US" w:eastAsia="zh-CN"/>
              </w:rPr>
            </w:pPr>
            <w:r>
              <w:rPr>
                <w:rFonts w:hint="default" w:ascii="Times New Roman" w:hAnsi="Times New Roman" w:eastAsia="仿宋_GB2312" w:cs="Times New Roman"/>
                <w:b w:val="0"/>
                <w:color w:val="000000"/>
                <w:sz w:val="21"/>
                <w:szCs w:val="21"/>
                <w:shd w:val="clear" w:color="auto" w:fill="auto"/>
                <w:lang w:val="en-US" w:eastAsia="zh-CN"/>
              </w:rPr>
              <w:t>以习近平新时代中国特色社会主义思想为指导，全面贯彻党的二十大和二十届历次全会精神，深入落实习近平总书记对广东系列重要讲话和重要指示精神，紧紧围绕省委、省政府决策部署和江门建设“幸福现代新侨都”的总体目标，立足“粤港澳大湾区新增长极、广东省先进制造业重要基地、沿海经济带江海门户”战略定位，完整、准确、全面贯彻新发展理念，坚持以新质生产力为主攻方向，以智能化、绿色化、融合化为路径，聚焦“13158”新型工业体系构建，大力实施产业创新工程，一体推进创新设施建设、技术研发攻关、产品迭代升级与场景应用示范，做大做强优势新兴产业，前瞻布局先导未来产业，着力延链补链强链育链，推动产业集群向千亿级、万亿级迈进，全力将江门打造成为珠江西岸新兴产业发展高地、未来产业创新策源地，为广东在推进中国式现代化建设中走在前列作出江门贡献。</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Times New Roman" w:hAnsi="Times New Roman" w:eastAsia="仿宋_GB2312" w:cs="Times New Roman"/>
                <w:b w:val="0"/>
                <w:color w:val="000000"/>
                <w:sz w:val="21"/>
                <w:szCs w:val="21"/>
                <w:shd w:val="clear" w:color="auto" w:fill="auto"/>
                <w:lang w:val="en-US" w:eastAsia="zh-CN"/>
              </w:rPr>
            </w:pPr>
            <w:r>
              <w:rPr>
                <w:rFonts w:hint="default" w:ascii="Times New Roman" w:hAnsi="Times New Roman" w:eastAsia="仿宋_GB2312" w:cs="Times New Roman"/>
                <w:b w:val="0"/>
                <w:color w:val="000000"/>
                <w:sz w:val="21"/>
                <w:szCs w:val="21"/>
                <w:shd w:val="clear" w:color="auto" w:fill="auto"/>
                <w:lang w:val="en-US" w:eastAsia="zh-CN"/>
              </w:rPr>
              <w:t>坚持创新驱动、科技引领。把科技创新摆在产业发展的核心位置，聚焦关键核心技术攻关，完善产学研用协同创新体系，加速科技成果转化，以科技创新引领产业全面升级，增强产业核心竞争力。坚持集群发展、链式突破。聚焦重点产业赛道，强化龙头企业牵引，推动上下游、大中小企业协同发展，构建更具韧性、更有活力的现代化产业链供应链，打造一批具有全国影响力的产业集群。坚持重点突破、前瞻布局。立足产业基础和比较优势，集中资源做强新能源、新材料等优势产业，同时面向科技前沿和未来需求，梯度培育人工智能、低空经济等未来产业，实现“新兴壮支柱、未来塑新极”。坚持开放协同、区域联动。深度融入粤港澳大湾区建设，主动对接广深港澳科技创新走廊，积极承接核心城市产业外溢与资源辐射，深化与珠江口东西两岸城市产业协作，构建内外联动、互利共赢的开放发展格局。坚持绿色低碳、安全发展。践行“双碳”战略，推动产业结构、能源结构、生产方式绿色转型，严守产业安全、生态安全底线，实现高质量发展和高水平安全良性互动。</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Times New Roman" w:hAnsi="Times New Roman" w:eastAsia="仿宋_GB2312" w:cs="Times New Roman"/>
                <w:b w:val="0"/>
                <w:color w:val="000000"/>
                <w:sz w:val="21"/>
                <w:szCs w:val="21"/>
                <w:shd w:val="clear" w:color="auto" w:fill="auto"/>
                <w:lang w:val="en-US" w:eastAsia="zh-CN"/>
              </w:rPr>
            </w:pPr>
            <w:r>
              <w:rPr>
                <w:rFonts w:hint="default" w:ascii="Times New Roman" w:hAnsi="Times New Roman" w:eastAsia="仿宋_GB2312" w:cs="Times New Roman"/>
                <w:b w:val="0"/>
                <w:color w:val="000000"/>
                <w:sz w:val="21"/>
                <w:szCs w:val="21"/>
                <w:shd w:val="clear" w:color="auto" w:fill="auto"/>
                <w:lang w:val="en-US" w:eastAsia="zh-CN"/>
              </w:rPr>
              <w:t>到2030年，江门市新兴产业和未来产业发展取得重大突破性进展，新质生产力培育成效显著，“两新一先”产业集群全面壮大，未来产业成形成势，构建起创新引领、结构优化、特色鲜明、集群发展的现代产业新体系。产业规模实现跨越式增长，新兴产业产值占规上工业比重显著提升，新能源、新一代电子信息、先进装备制造三大产业集群率先冲刺千亿级，安全应急与环保、生物医药与健康、前沿新材料等产业规模持续壮大，成为支撑万亿工业强市的核心支柱。产业创新能力大幅增强，建成一批国家级、省级重点实验室、工程技术研究中心和企业技术中心，高新技术企业和专精特新企业数量倍增，关键核心技术攻关取得重要突破，科技成果转化效率显著提升。产业结构更加优化，产业链向高端化、智能化、绿色化迈进，新能源电池及新型储能、半导体与集成电路、智能机器人等领域形成完整产业链条，产业配套能力和集群竞争力位居全省前列。未来产业布局形成先导优势，人工智能与机器人、低空经济两大未来产业实现规模化发展，在具身智能、通用航空、场景应用等领域形成特色优势，打造成为江门产业发展新名片。空间布局更加高效，大型产业集聚区承载能力全面提升，专业特色园区错位发展，形成“一核引领、两带协同、多点支撑”的产业空间新格局，为江门高质量发展注入强劲动能。</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Times New Roman" w:hAnsi="Times New Roman" w:eastAsia="仿宋_GB2312" w:cs="Times New Roman"/>
                <w:b w:val="0"/>
                <w:color w:val="000000"/>
                <w:sz w:val="21"/>
                <w:szCs w:val="21"/>
                <w:shd w:val="clear" w:color="auto" w:fill="auto"/>
                <w:lang w:val="en-US" w:eastAsia="zh-CN"/>
              </w:rPr>
            </w:pPr>
            <w:r>
              <w:rPr>
                <w:rFonts w:hint="default" w:ascii="Times New Roman" w:hAnsi="Times New Roman" w:eastAsia="仿宋_GB2312" w:cs="Times New Roman"/>
                <w:b w:val="0"/>
                <w:color w:val="000000"/>
                <w:sz w:val="21"/>
                <w:szCs w:val="21"/>
                <w:shd w:val="clear" w:color="auto" w:fill="auto"/>
                <w:lang w:val="en-US" w:eastAsia="zh-CN"/>
              </w:rPr>
              <w:t>聚焦优势赛道，全力推动新兴产业集群化、高端化发展，构建支撑万亿工业强市的“四梁八柱”。做强新能源及新型储能产业，依托中创新航龙头效应，持续壮大正极材料、负极材料、电解液、隔膜、电池壳体等全产业链，重点发展动力电池、储能电池、固态电池、钠离子电池，完善电池回收、梯次利用闭环体系，建设广东乃至全国重要的新型储能产业基地。大力发展光伏、海上风电装备及配套产业，推动光储充、源网荷储一体化发展，构建清洁低碳、安全高效的新能源产业生态。壮大新一代电子信息产业，以建滔、世运电路等企业为龙头，重点发展高端印制电路板、芯片内嵌式PCB、高阶HDI电路板，延伸发展半导体与集成电路、5G/6G通信器件、汽车电子、消费电子，突破芯片设计、封装测试、关键元器件等薄弱环节，打造粤港澳大湾区电子信息产业重要配套基地。提升高端装备与智能机器人产业，聚焦智能装备、数控机床、海工装备、轨道交通装备，大力发展工业机器人、服务机器人、具身智能机器人、特种应急机器人，突破视觉识别、力传感器、智能控制系统等核心技术，加快安全应急智能机器人产业园建设，打造珠江西岸高端装备制造高地。培育前沿新材料产业，重点发展先进金属材料、高性能化工新材料、新型无机非金属材料、生物基材料，聚焦新能源材料、电子信息材料、安全应急材料，支持企业研发高端专用材料、前沿功能材料，提升新材料产业对全市制造业的基础支撑能力。发展生物医药与健康产业，依托江门生物医药产业园，重点发展化学药、现代中药、生物制品、高端医疗器械、健康食品，推动生物技术与信息技术融合创新，培育AI制药、精准医疗新业态，打造大湾区生物医药产业特色发展区。提质安全应急与环保产业，以江海安全应急产业园为核心，发展应急救援装备、应急通信、监测预警设备、安全防护产品、环保装备、污染治理技术，推动安全应急产业智能化、集成化、绿色化发展，建设国家级安全应急产业示范基地。</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Times New Roman" w:hAnsi="Times New Roman" w:eastAsia="仿宋_GB2312" w:cs="Times New Roman"/>
                <w:b w:val="0"/>
                <w:color w:val="000000"/>
                <w:sz w:val="21"/>
                <w:szCs w:val="21"/>
                <w:shd w:val="clear" w:color="auto" w:fill="auto"/>
                <w:lang w:val="en-US" w:eastAsia="zh-CN"/>
              </w:rPr>
            </w:pPr>
            <w:r>
              <w:rPr>
                <w:rFonts w:hint="default" w:ascii="Times New Roman" w:hAnsi="Times New Roman" w:eastAsia="仿宋_GB2312" w:cs="Times New Roman"/>
                <w:b w:val="0"/>
                <w:color w:val="000000"/>
                <w:sz w:val="21"/>
                <w:szCs w:val="21"/>
                <w:shd w:val="clear" w:color="auto" w:fill="auto"/>
                <w:lang w:val="en-US" w:eastAsia="zh-CN"/>
              </w:rPr>
              <w:t>面向未来十年科技革命和产业变革方向，立足江门基础，梯度布局、重点培育一批先导性、颠覆性未来产业，抢占产业发展制高点。重点突破人工智能与机器人产业，聚焦具身智能、通用人工智能、机器视觉、自然语言处理，大力发展智能人形机器人、工业智能机器人、医疗康复机器人、养老服务机器人、特种作业机器人，推动人工智能技术与制造业、服务业、农业深度融合，建设集研发、制造、应用于一体的人工智能产业生态，打造粤港澳大湾区智能机器人产业高地。加快发展低空经济产业，依托冯如低空经济产业园，完善通用机场、起降点、空管服务等基础设施，大力发展通用航空、无人机研发制造、低空物流、低空文旅、空中测绘、应急救援、农林作业等场景应用，推动低空经济与制造业、服务业融合发展，建设全国低空经济发展示范区。前瞻布局海洋未来产业，主动对接深圳全球海洋中心城市建设，在大广海湾布局高端船舶与海工装备、海洋新能源装备、海洋新材料、海洋生物医药，发展深远海养殖、海洋碳汇、海底数据中心，打造珠江口海洋经济重要增长极。培育发展量子信息、类脑智能、氢能与燃料电池、合成生物、商业航天等前沿未来产业，设立未来产业概念验证中心、中试基地，建立包容审慎监管机制，鼓励技术创新、场景创新、模式创新，推动一批未来产业从实验室走向产业化、规模化，为江门长远发展积蓄战略动能。</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Times New Roman" w:hAnsi="Times New Roman" w:eastAsia="仿宋_GB2312" w:cs="Times New Roman"/>
                <w:b w:val="0"/>
                <w:color w:val="000000"/>
                <w:sz w:val="21"/>
                <w:szCs w:val="21"/>
                <w:shd w:val="clear" w:color="auto" w:fill="auto"/>
                <w:lang w:val="en-US" w:eastAsia="zh-CN"/>
              </w:rPr>
            </w:pPr>
            <w:r>
              <w:rPr>
                <w:rFonts w:hint="default" w:ascii="Times New Roman" w:hAnsi="Times New Roman" w:eastAsia="仿宋_GB2312" w:cs="Times New Roman"/>
                <w:b w:val="0"/>
                <w:color w:val="000000"/>
                <w:sz w:val="21"/>
                <w:szCs w:val="21"/>
                <w:shd w:val="clear" w:color="auto" w:fill="auto"/>
                <w:lang w:val="en-US" w:eastAsia="zh-CN"/>
              </w:rPr>
              <w:t>优化全域产业空间布局，推动产业集聚集约、错位协同发展，构建高质量产业承载平台。强化大型产业集聚区核心引领作用，以省大型产业集聚区（江门片区）为总平台，统筹整合全市产业园区资源，完善道路、能源、供水、环保、新型基建等配套设施，提升园区数字化、绿色化、智慧化水平，打造产业规模大、创新能力强、配套完善的产业发展主阵地。打造特色专业园区集群，围绕新能源、电子信息、智能机器人、安全应急、生物医药、低空经济等重点产业，建设一批定位清晰、链条完整、服务专业的特色产业园，推动“一园一主业、一园一特色”，实现园区间产业互补、协同联动。优化“一核两带多点”空间格局，做强中心城区产业创新核，集聚总部经济、科创研发、高端服务；提升沿海蓝色产业带，壮大海洋装备、新能源、临港经济；优化北部绿色产业带，发展先进材料、智能装备、绿色食品；推动各县（市、区）产业园区特色化、差异化发展，形成全域协同、优势互补的产业空间新格局。</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Times New Roman" w:hAnsi="Times New Roman" w:eastAsia="仿宋_GB2312" w:cs="Times New Roman"/>
                <w:b w:val="0"/>
                <w:color w:val="000000"/>
                <w:sz w:val="21"/>
                <w:szCs w:val="21"/>
                <w:shd w:val="clear" w:color="auto" w:fill="auto"/>
                <w:lang w:val="en-US" w:eastAsia="zh-CN"/>
              </w:rPr>
            </w:pPr>
            <w:r>
              <w:rPr>
                <w:rFonts w:hint="default" w:ascii="Times New Roman" w:hAnsi="Times New Roman" w:eastAsia="仿宋_GB2312" w:cs="Times New Roman"/>
                <w:b w:val="0"/>
                <w:color w:val="000000"/>
                <w:sz w:val="21"/>
                <w:szCs w:val="21"/>
                <w:shd w:val="clear" w:color="auto" w:fill="auto"/>
                <w:lang w:val="en-US" w:eastAsia="zh-CN"/>
              </w:rPr>
              <w:t>强化科技创新策源能力，构建全过程创新生态链，为新兴产业和未来产业发展提供核心动力。搭建高能级创新平台，积极对接中科院、高校院所，共建重点实验室、工程技术研究中心、新型研发机构、中试基地，支持企业建设国家级、省级技术中心、工业设计中心，打造一批产业创新联合体，突破一批关键核心技术。培育壮大创新主体，实施高新技术企业、专精特新企业倍增计划，建立“微成长、小升高、高变强”梯次培育机制，培育一批创新型龙头企业、科技型中小企业、独角兽企业，形成创新企业集群。加速科技成果转化，完善“科技成果超市”、知识产权服务、技术交易市场，推动创新成果在江门就地转化、产业化，打通产学研用最后一公里。强化人才引育支撑，实施“侨都英才”计划，精准引进新能源、半导体、人工智能、机器人等领域高端人才、创新团队、技能人才，深化与五邑大学等本地院校合作，建设一批现代产业学院、技能实训基地，打造人才集聚新高地。</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Times New Roman" w:hAnsi="Times New Roman" w:eastAsia="仿宋_GB2312" w:cs="Times New Roman"/>
                <w:b w:val="0"/>
                <w:color w:val="000000"/>
                <w:sz w:val="21"/>
                <w:szCs w:val="21"/>
                <w:shd w:val="clear" w:color="auto" w:fill="auto"/>
                <w:lang w:val="en-US" w:eastAsia="zh-CN"/>
              </w:rPr>
            </w:pPr>
            <w:r>
              <w:rPr>
                <w:rFonts w:hint="default" w:ascii="Times New Roman" w:hAnsi="Times New Roman" w:eastAsia="仿宋_GB2312" w:cs="Times New Roman"/>
                <w:b w:val="0"/>
                <w:color w:val="000000"/>
                <w:sz w:val="21"/>
                <w:szCs w:val="21"/>
                <w:shd w:val="clear" w:color="auto" w:fill="auto"/>
                <w:lang w:val="en-US" w:eastAsia="zh-CN"/>
              </w:rPr>
              <w:t>深化改革开放，优化产业生态，为新兴产业和未来产业发展注入强大活力。全面深化“放管服”改革，持续优化市场化、法治化、国际化营商环境，推行“标准地”出让、拿地即开工、极简审批、全程代办，打造审批事项最少、政务服务最快、产业生态最好的发展环境。强化产业链精准招商，聚焦重点产业链关键环节、缺失环节、高端环节，大力开展产业链招商、以商招商、精准招商，着力引进一批龙头项目、链主企业、配套项目，完善产业链条、提升集群能级。强化要素保障支撑，统筹用地、用能、资金、人才、数据等要素，优先保障新兴产业和未来产业重大项目需求，设立产业发展引导基金、科技信贷风险补偿资金，引导金融资本、社会资本投向重点产业领域。深化区域开放合作，全面融入粤港澳大湾区建设，加强与珠江口东西两岸城市产业协作、创新协同，主动承接广深港澳产业外溢、创新外溢，深化与粤西、北部湾地区联动发展，拓展国内国际市场空间，构建全方位开放合作新格局。</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Times New Roman" w:hAnsi="Times New Roman" w:eastAsia="仿宋_GB2312" w:cs="Times New Roman"/>
                <w:b w:val="0"/>
                <w:color w:val="000000"/>
                <w:sz w:val="21"/>
                <w:szCs w:val="21"/>
                <w:shd w:val="clear" w:color="auto" w:fill="auto"/>
                <w:lang w:val="en-US" w:eastAsia="zh-CN"/>
              </w:rPr>
            </w:pPr>
            <w:r>
              <w:rPr>
                <w:rFonts w:hint="default" w:ascii="Times New Roman" w:hAnsi="Times New Roman" w:eastAsia="仿宋_GB2312" w:cs="Times New Roman"/>
                <w:b w:val="0"/>
                <w:color w:val="000000"/>
                <w:sz w:val="21"/>
                <w:szCs w:val="21"/>
                <w:shd w:val="clear" w:color="auto" w:fill="auto"/>
                <w:lang w:val="en-US" w:eastAsia="zh-CN"/>
              </w:rPr>
              <w:t>健全规划实施保障机制，确保各项目标任务落地见效。坚持和加强党的全面领导，充分发挥党总揽全局、协调各方的领导核心作用，把党的领导贯穿规划实施全过程各领域。建立统筹协调机制，成立专项工作领导小组，健全跨部门、跨区域协同推进机制，细化年度目标、重点任务、重大项目清单，实行项目化管理、清单化推进、常态化调度。强化督导考核评估，将规划实施情况纳入各级各部门绩效考核体系，建立年度监测、中期评估、期末总结机制，动态优化调整规划内容，确保规划落地生根、取得实效。凝聚全社会发展合力，加强规划宣传解读，充分调动企业、高校、科研院所、社会组织、广大群众的积极性主动性创造性，形成全市上下共谋产业发展、共推创新突破的强大合力，全力推动江门新兴产业和未来产业高质量发展，为建设万亿工业强市、打造幸福现代新侨都奠定坚实产业基础。</w:t>
            </w:r>
          </w:p>
        </w:tc>
        <w:tc>
          <w:tcPr>
            <w:tcW w:w="23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b w:val="0"/>
                <w:color w:val="000000"/>
                <w:sz w:val="21"/>
                <w:szCs w:val="21"/>
                <w:shd w:val="clear" w:color="auto" w:fill="auto"/>
                <w:lang w:val="en-US" w:eastAsia="zh-CN"/>
              </w:rPr>
            </w:pPr>
            <w:r>
              <w:rPr>
                <w:rFonts w:hint="default" w:ascii="Times New Roman" w:hAnsi="Times New Roman" w:eastAsia="仿宋_GB2312" w:cs="Times New Roman"/>
                <w:b w:val="0"/>
                <w:color w:val="000000"/>
                <w:sz w:val="21"/>
                <w:szCs w:val="21"/>
                <w:shd w:val="clear" w:color="auto" w:fill="auto"/>
                <w:lang w:val="en-US" w:eastAsia="zh-CN"/>
              </w:rPr>
              <w:t>部分采纳。</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b w:val="0"/>
                <w:color w:val="000000"/>
                <w:sz w:val="21"/>
                <w:szCs w:val="21"/>
                <w:shd w:val="clear" w:color="auto" w:fill="auto"/>
                <w:lang w:val="en-US" w:eastAsia="zh-CN"/>
              </w:rPr>
            </w:pPr>
            <w:r>
              <w:rPr>
                <w:rFonts w:hint="default" w:ascii="Times New Roman" w:hAnsi="Times New Roman" w:eastAsia="仿宋_GB2312" w:cs="Times New Roman"/>
                <w:b/>
                <w:bCs/>
                <w:color w:val="000000"/>
                <w:sz w:val="21"/>
                <w:szCs w:val="21"/>
                <w:shd w:val="clear" w:color="auto" w:fill="auto"/>
                <w:lang w:val="en-US" w:eastAsia="zh-CN"/>
              </w:rPr>
              <w:t>理由：</w:t>
            </w:r>
            <w:r>
              <w:rPr>
                <w:rFonts w:hint="default" w:ascii="Times New Roman" w:hAnsi="Times New Roman" w:eastAsia="仿宋_GB2312" w:cs="Times New Roman"/>
                <w:b w:val="0"/>
                <w:color w:val="000000"/>
                <w:sz w:val="21"/>
                <w:szCs w:val="21"/>
                <w:shd w:val="clear" w:color="auto" w:fill="auto"/>
                <w:lang w:val="en-US" w:eastAsia="zh-CN"/>
              </w:rPr>
              <w:t>建议提及的重点发展新能源、新一代电子信息、高端装备、前沿新材料、低空经济、人工智能等产业，是我市“十五五”期间新兴和未来产业发展的重点方向，在第三、四章有所体现。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Ex>
        <w:trPr>
          <w:trHeight w:val="220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val="0"/>
                <w:color w:val="000000"/>
                <w:sz w:val="21"/>
                <w:szCs w:val="21"/>
                <w:shd w:val="clear" w:color="auto" w:fill="auto"/>
                <w:lang w:val="en-US" w:eastAsia="zh-CN"/>
              </w:rPr>
            </w:pPr>
            <w:r>
              <w:rPr>
                <w:rFonts w:hint="default" w:ascii="Times New Roman" w:hAnsi="Times New Roman" w:eastAsia="仿宋_GB2312" w:cs="Times New Roman"/>
                <w:b w:val="0"/>
                <w:color w:val="000000"/>
                <w:sz w:val="21"/>
                <w:szCs w:val="21"/>
                <w:shd w:val="clear" w:color="auto" w:fill="auto"/>
                <w:lang w:val="en-US" w:eastAsia="zh-CN"/>
              </w:rPr>
              <w:t>2</w:t>
            </w:r>
          </w:p>
        </w:tc>
        <w:tc>
          <w:tcPr>
            <w:tcW w:w="125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Times New Roman" w:hAnsi="Times New Roman" w:eastAsia="仿宋_GB2312" w:cs="Times New Roman"/>
                <w:b w:val="0"/>
                <w:color w:val="000000"/>
                <w:sz w:val="21"/>
                <w:szCs w:val="21"/>
                <w:shd w:val="clear" w:color="auto" w:fill="auto"/>
                <w:lang w:val="en-US" w:eastAsia="zh-CN"/>
              </w:rPr>
            </w:pPr>
            <w:r>
              <w:rPr>
                <w:rFonts w:hint="default" w:ascii="Times New Roman" w:hAnsi="Times New Roman" w:eastAsia="仿宋_GB2312" w:cs="Times New Roman"/>
                <w:b w:val="0"/>
                <w:color w:val="000000"/>
                <w:sz w:val="21"/>
                <w:szCs w:val="21"/>
                <w:shd w:val="clear" w:color="auto" w:fill="auto"/>
                <w:lang w:val="en-US" w:eastAsia="zh-CN"/>
              </w:rPr>
              <w:t>尊敬的领导您好!</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Times New Roman" w:hAnsi="Times New Roman" w:eastAsia="仿宋_GB2312" w:cs="Times New Roman"/>
                <w:b w:val="0"/>
                <w:color w:val="000000"/>
                <w:sz w:val="21"/>
                <w:szCs w:val="21"/>
                <w:shd w:val="clear" w:color="auto" w:fill="auto"/>
                <w:lang w:val="en-US" w:eastAsia="zh-CN"/>
              </w:rPr>
            </w:pPr>
            <w:r>
              <w:rPr>
                <w:rFonts w:hint="default" w:ascii="Times New Roman" w:hAnsi="Times New Roman" w:eastAsia="仿宋_GB2312" w:cs="Times New Roman"/>
                <w:b w:val="0"/>
                <w:color w:val="000000"/>
                <w:sz w:val="21"/>
                <w:szCs w:val="21"/>
                <w:shd w:val="clear" w:color="auto" w:fill="auto"/>
                <w:lang w:val="en-US" w:eastAsia="zh-CN"/>
              </w:rPr>
              <w:t>产业创新。交通强国。倡议：人人携手相关部门进一步加快推广普及“保障按需通行”各项核心内容。挽救更多生命（道路伤亡人数再减半，目标早一年达成，如果按全球120万人计算，等同能够每年多挽救60万人生命）国内减半等同每年多挽救三万多人生命，每年能造福几万甚至几百万个家庭。防灾减灾。产业创新。乡村振兴。共同富裕。交通强市。江门争当示范。全域解堵。落实安全距离。前置预约调控。仿真演练(实测)预约通行成效对比。任一路段任一时间场景不超承载量。全域快捷预约公共交通工具0~5分钟候车换乘24小时服务能等同。自动驾驶推荐L4级优先道模式限慢行，专用道模式快高速通行。安全距离提示预警报警联动联控加快列入国家强制标准，成为车辆标配。携手支持各级政府为人民服务。附议建言立法征集，避免法条冲突。法律法规一图展示。十五五规划(推进自动化智慧农业。工业。服务业)完善(提升)衣食住行医教等基本保障；加快构建全天候互通路网。普及全域一图公共交通体系</w:t>
            </w:r>
          </w:p>
        </w:tc>
        <w:tc>
          <w:tcPr>
            <w:tcW w:w="23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仿宋_GB2312" w:cs="Times New Roman"/>
                <w:b w:val="0"/>
                <w:color w:val="000000"/>
                <w:sz w:val="21"/>
                <w:szCs w:val="21"/>
                <w:shd w:val="clear" w:color="auto" w:fill="auto"/>
                <w:lang w:val="en-US" w:eastAsia="zh-CN"/>
              </w:rPr>
            </w:pPr>
            <w:r>
              <w:rPr>
                <w:rFonts w:hint="default" w:ascii="Times New Roman" w:hAnsi="Times New Roman" w:eastAsia="仿宋_GB2312" w:cs="Times New Roman"/>
                <w:b w:val="0"/>
                <w:color w:val="000000"/>
                <w:kern w:val="2"/>
                <w:sz w:val="21"/>
                <w:szCs w:val="21"/>
                <w:shd w:val="clear" w:fill="auto"/>
                <w:lang w:val="en-US" w:eastAsia="zh-CN" w:bidi="ar-SA"/>
              </w:rPr>
              <w:t>部分</w:t>
            </w:r>
            <w:r>
              <w:rPr>
                <w:rFonts w:hint="default" w:ascii="Times New Roman" w:hAnsi="Times New Roman" w:eastAsia="仿宋_GB2312" w:cs="Times New Roman"/>
                <w:b w:val="0"/>
                <w:color w:val="000000"/>
                <w:sz w:val="21"/>
                <w:szCs w:val="21"/>
                <w:shd w:val="clear" w:color="auto" w:fill="auto"/>
                <w:lang w:val="en-US" w:eastAsia="zh-CN"/>
              </w:rPr>
              <w:t>采纳。</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仿宋_GB2312" w:cs="Times New Roman"/>
                <w:b w:val="0"/>
                <w:color w:val="000000"/>
                <w:sz w:val="21"/>
                <w:szCs w:val="21"/>
                <w:shd w:val="clear" w:color="auto" w:fill="auto"/>
                <w:lang w:val="en-US" w:eastAsia="zh-CN"/>
              </w:rPr>
            </w:pPr>
            <w:r>
              <w:rPr>
                <w:rFonts w:hint="default" w:ascii="Times New Roman" w:hAnsi="Times New Roman" w:eastAsia="仿宋_GB2312" w:cs="Times New Roman"/>
                <w:b/>
                <w:bCs/>
                <w:color w:val="000000"/>
                <w:sz w:val="21"/>
                <w:szCs w:val="21"/>
                <w:shd w:val="clear" w:color="auto" w:fill="auto"/>
                <w:lang w:val="en-US" w:eastAsia="zh-CN"/>
              </w:rPr>
              <w:t>理由：</w:t>
            </w:r>
            <w:r>
              <w:rPr>
                <w:rFonts w:hint="default" w:ascii="Times New Roman" w:hAnsi="Times New Roman" w:eastAsia="仿宋_GB2312" w:cs="Times New Roman"/>
                <w:b w:val="0"/>
                <w:color w:val="000000"/>
                <w:sz w:val="21"/>
                <w:szCs w:val="21"/>
                <w:shd w:val="clear" w:color="auto" w:fill="auto"/>
                <w:lang w:val="en-US" w:eastAsia="zh-CN"/>
              </w:rPr>
              <w:t>建议提及的发展自动驾驶是我市重点突破人工智能与机器人产业的重点方向和任务。在“加快推广自动驾驶应用示范”章节有所体现。</w:t>
            </w:r>
          </w:p>
        </w:tc>
      </w:tr>
    </w:tbl>
    <w:p>
      <w:pPr>
        <w:rPr>
          <w:rFonts w:hint="default" w:ascii="Times New Roman" w:hAnsi="Times New Roman" w:cs="Times New Roman"/>
        </w:rPr>
      </w:pPr>
    </w:p>
    <w:sectPr>
      <w:headerReference r:id="rId3" w:type="default"/>
      <w:footerReference r:id="rId4" w:type="default"/>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4879C8E-1137-4C5C-9CC3-E942B9C6DC5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embedRegular r:id="rId2" w:fontKey="{BE8A383A-485A-4263-8C1C-0EF09D338E5C}"/>
  </w:font>
  <w:font w:name="方正小标宋_GBK">
    <w:panose1 w:val="03000502000000000000"/>
    <w:charset w:val="86"/>
    <w:family w:val="script"/>
    <w:pitch w:val="default"/>
    <w:sig w:usb0="00000001" w:usb1="080E0000" w:usb2="00000000" w:usb3="00000000" w:csb0="00040000" w:csb1="00000000"/>
    <w:embedRegular r:id="rId3" w:fontKey="{CC9953E4-F061-4F08-A784-F7798873E30E}"/>
  </w:font>
  <w:font w:name="楷体">
    <w:panose1 w:val="02010609060101010101"/>
    <w:charset w:val="86"/>
    <w:family w:val="auto"/>
    <w:pitch w:val="default"/>
    <w:sig w:usb0="800002BF" w:usb1="38CF7CFA" w:usb2="00000016" w:usb3="00000000" w:csb0="00040001" w:csb1="00000000"/>
    <w:embedRegular r:id="rId4" w:fontKey="{15A82647-5C7A-4255-A82A-AD64DBD09D8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Pr>
                              <w:rFonts w:ascii="Times New Roman" w:hAnsi="Times New Roman" w:cs="Times New Roman"/>
                              <w:sz w:val="20"/>
                              <w:szCs w:val="20"/>
                            </w:rPr>
                            <w:t>1</w:t>
                          </w:r>
                          <w:r>
                            <w:rPr>
                              <w:rFonts w:ascii="Times New Roman" w:hAnsi="Times New Roman" w:cs="Times New Roman"/>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4"/>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Pr>
                        <w:rFonts w:ascii="Times New Roman" w:hAnsi="Times New Roman" w:cs="Times New Roman"/>
                        <w:sz w:val="20"/>
                        <w:szCs w:val="20"/>
                      </w:rPr>
                      <w:t>1</w:t>
                    </w:r>
                    <w:r>
                      <w:rPr>
                        <w:rFonts w:ascii="Times New Roman" w:hAnsi="Times New Roman" w:cs="Times New Roman"/>
                        <w:sz w:val="20"/>
                        <w:szCs w:val="2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MGE0MmY4YjMzY2M1MDM2M2RkMzMzYWUyZDNlYTgifQ=="/>
    <w:docVar w:name="KGWebUrl" w:val="http://19.121.241.45/seeyon/officeservlet"/>
  </w:docVars>
  <w:rsids>
    <w:rsidRoot w:val="0085393E"/>
    <w:rsid w:val="000065A7"/>
    <w:rsid w:val="00007E8D"/>
    <w:rsid w:val="00011251"/>
    <w:rsid w:val="00012233"/>
    <w:rsid w:val="00023CB1"/>
    <w:rsid w:val="000342C1"/>
    <w:rsid w:val="00055429"/>
    <w:rsid w:val="00057D2B"/>
    <w:rsid w:val="00066C29"/>
    <w:rsid w:val="00076247"/>
    <w:rsid w:val="00081A4F"/>
    <w:rsid w:val="0009169E"/>
    <w:rsid w:val="000A00F2"/>
    <w:rsid w:val="000B173D"/>
    <w:rsid w:val="000B3ACB"/>
    <w:rsid w:val="000D72D4"/>
    <w:rsid w:val="000E19F5"/>
    <w:rsid w:val="000F29B6"/>
    <w:rsid w:val="000F5755"/>
    <w:rsid w:val="000F6E59"/>
    <w:rsid w:val="001073AA"/>
    <w:rsid w:val="00110A3E"/>
    <w:rsid w:val="00132D36"/>
    <w:rsid w:val="00132E0C"/>
    <w:rsid w:val="00145800"/>
    <w:rsid w:val="0016361B"/>
    <w:rsid w:val="00172B59"/>
    <w:rsid w:val="0018047E"/>
    <w:rsid w:val="00191830"/>
    <w:rsid w:val="001A7423"/>
    <w:rsid w:val="001A7F4E"/>
    <w:rsid w:val="001B15B1"/>
    <w:rsid w:val="001B3FA0"/>
    <w:rsid w:val="001B6DE5"/>
    <w:rsid w:val="001C07AB"/>
    <w:rsid w:val="001D334A"/>
    <w:rsid w:val="001F6D48"/>
    <w:rsid w:val="00200AFB"/>
    <w:rsid w:val="0020543D"/>
    <w:rsid w:val="00221F34"/>
    <w:rsid w:val="002379B3"/>
    <w:rsid w:val="00244A93"/>
    <w:rsid w:val="00246F89"/>
    <w:rsid w:val="00247076"/>
    <w:rsid w:val="00247A30"/>
    <w:rsid w:val="00254F35"/>
    <w:rsid w:val="002563D2"/>
    <w:rsid w:val="00263199"/>
    <w:rsid w:val="002656F5"/>
    <w:rsid w:val="002700C1"/>
    <w:rsid w:val="002700D8"/>
    <w:rsid w:val="0027592E"/>
    <w:rsid w:val="00305FAE"/>
    <w:rsid w:val="0030669C"/>
    <w:rsid w:val="00314D0E"/>
    <w:rsid w:val="00326922"/>
    <w:rsid w:val="00335337"/>
    <w:rsid w:val="00337046"/>
    <w:rsid w:val="00343EF9"/>
    <w:rsid w:val="00346F3E"/>
    <w:rsid w:val="00354F51"/>
    <w:rsid w:val="00355DB5"/>
    <w:rsid w:val="00360BD4"/>
    <w:rsid w:val="0037314E"/>
    <w:rsid w:val="00373B7E"/>
    <w:rsid w:val="00377C83"/>
    <w:rsid w:val="0038332E"/>
    <w:rsid w:val="003A1712"/>
    <w:rsid w:val="003A6D4E"/>
    <w:rsid w:val="003B7470"/>
    <w:rsid w:val="003D1CCE"/>
    <w:rsid w:val="003F2566"/>
    <w:rsid w:val="003F6290"/>
    <w:rsid w:val="00412E6A"/>
    <w:rsid w:val="0041539F"/>
    <w:rsid w:val="00425A5B"/>
    <w:rsid w:val="00433537"/>
    <w:rsid w:val="004401A9"/>
    <w:rsid w:val="00444E19"/>
    <w:rsid w:val="00462814"/>
    <w:rsid w:val="00480017"/>
    <w:rsid w:val="0048142F"/>
    <w:rsid w:val="00484EC9"/>
    <w:rsid w:val="00492FC4"/>
    <w:rsid w:val="00496CD4"/>
    <w:rsid w:val="004A70E0"/>
    <w:rsid w:val="004B49D4"/>
    <w:rsid w:val="004B6AAB"/>
    <w:rsid w:val="004B6DF4"/>
    <w:rsid w:val="004C4A43"/>
    <w:rsid w:val="004D566F"/>
    <w:rsid w:val="004F140A"/>
    <w:rsid w:val="004F7F03"/>
    <w:rsid w:val="00501EC3"/>
    <w:rsid w:val="005039FB"/>
    <w:rsid w:val="00504CA2"/>
    <w:rsid w:val="00505846"/>
    <w:rsid w:val="00506590"/>
    <w:rsid w:val="0051076B"/>
    <w:rsid w:val="005271A0"/>
    <w:rsid w:val="00531121"/>
    <w:rsid w:val="005529FC"/>
    <w:rsid w:val="00553469"/>
    <w:rsid w:val="005544D2"/>
    <w:rsid w:val="005563BF"/>
    <w:rsid w:val="00560595"/>
    <w:rsid w:val="00561FA8"/>
    <w:rsid w:val="00571BD3"/>
    <w:rsid w:val="00573D48"/>
    <w:rsid w:val="00584B8D"/>
    <w:rsid w:val="00585577"/>
    <w:rsid w:val="00594723"/>
    <w:rsid w:val="005B0407"/>
    <w:rsid w:val="005F4465"/>
    <w:rsid w:val="006034B4"/>
    <w:rsid w:val="00603ED1"/>
    <w:rsid w:val="00612F80"/>
    <w:rsid w:val="00635F24"/>
    <w:rsid w:val="00637421"/>
    <w:rsid w:val="0064714E"/>
    <w:rsid w:val="006507D1"/>
    <w:rsid w:val="00654850"/>
    <w:rsid w:val="006560C7"/>
    <w:rsid w:val="00664B9E"/>
    <w:rsid w:val="006723C6"/>
    <w:rsid w:val="00677622"/>
    <w:rsid w:val="00692056"/>
    <w:rsid w:val="006B4CB2"/>
    <w:rsid w:val="006B6C8D"/>
    <w:rsid w:val="006D1727"/>
    <w:rsid w:val="006F5E20"/>
    <w:rsid w:val="007050AD"/>
    <w:rsid w:val="0070655D"/>
    <w:rsid w:val="00750B25"/>
    <w:rsid w:val="00753B76"/>
    <w:rsid w:val="00765CC9"/>
    <w:rsid w:val="00766E70"/>
    <w:rsid w:val="007709B6"/>
    <w:rsid w:val="00777B86"/>
    <w:rsid w:val="00782CF3"/>
    <w:rsid w:val="00785E42"/>
    <w:rsid w:val="00785F5B"/>
    <w:rsid w:val="007876A8"/>
    <w:rsid w:val="007956FE"/>
    <w:rsid w:val="0079770E"/>
    <w:rsid w:val="007C2FF0"/>
    <w:rsid w:val="007E0773"/>
    <w:rsid w:val="007F4774"/>
    <w:rsid w:val="0080322E"/>
    <w:rsid w:val="00812769"/>
    <w:rsid w:val="008142B4"/>
    <w:rsid w:val="008147A8"/>
    <w:rsid w:val="008238B4"/>
    <w:rsid w:val="00830DC4"/>
    <w:rsid w:val="0083149C"/>
    <w:rsid w:val="00835694"/>
    <w:rsid w:val="00835DF0"/>
    <w:rsid w:val="00837705"/>
    <w:rsid w:val="00850742"/>
    <w:rsid w:val="0085393E"/>
    <w:rsid w:val="00854858"/>
    <w:rsid w:val="00857710"/>
    <w:rsid w:val="008721C7"/>
    <w:rsid w:val="00877C12"/>
    <w:rsid w:val="00885A47"/>
    <w:rsid w:val="008909C9"/>
    <w:rsid w:val="00894D2E"/>
    <w:rsid w:val="008A1BCB"/>
    <w:rsid w:val="008A62CA"/>
    <w:rsid w:val="008B2432"/>
    <w:rsid w:val="008B2B4B"/>
    <w:rsid w:val="008B5B04"/>
    <w:rsid w:val="008F158F"/>
    <w:rsid w:val="008F18D8"/>
    <w:rsid w:val="009022B9"/>
    <w:rsid w:val="0090233F"/>
    <w:rsid w:val="009032B7"/>
    <w:rsid w:val="009179C3"/>
    <w:rsid w:val="00923DE5"/>
    <w:rsid w:val="009256CB"/>
    <w:rsid w:val="009259B1"/>
    <w:rsid w:val="009345F1"/>
    <w:rsid w:val="00936294"/>
    <w:rsid w:val="00937438"/>
    <w:rsid w:val="009419F2"/>
    <w:rsid w:val="00942B0F"/>
    <w:rsid w:val="0095564E"/>
    <w:rsid w:val="00962200"/>
    <w:rsid w:val="009C1245"/>
    <w:rsid w:val="009D12A6"/>
    <w:rsid w:val="009F4568"/>
    <w:rsid w:val="00A122A0"/>
    <w:rsid w:val="00A14CD0"/>
    <w:rsid w:val="00A15FD9"/>
    <w:rsid w:val="00A36F56"/>
    <w:rsid w:val="00A40C88"/>
    <w:rsid w:val="00A55913"/>
    <w:rsid w:val="00A8427A"/>
    <w:rsid w:val="00A855A5"/>
    <w:rsid w:val="00A87495"/>
    <w:rsid w:val="00A9042F"/>
    <w:rsid w:val="00A91774"/>
    <w:rsid w:val="00A92DED"/>
    <w:rsid w:val="00AB17EB"/>
    <w:rsid w:val="00AF6558"/>
    <w:rsid w:val="00B004A8"/>
    <w:rsid w:val="00B12667"/>
    <w:rsid w:val="00B149EC"/>
    <w:rsid w:val="00B15D03"/>
    <w:rsid w:val="00B20683"/>
    <w:rsid w:val="00B2072C"/>
    <w:rsid w:val="00B20D19"/>
    <w:rsid w:val="00B35898"/>
    <w:rsid w:val="00B37BAF"/>
    <w:rsid w:val="00B40BC1"/>
    <w:rsid w:val="00B547C1"/>
    <w:rsid w:val="00B54C44"/>
    <w:rsid w:val="00B66D12"/>
    <w:rsid w:val="00B66FD1"/>
    <w:rsid w:val="00B73595"/>
    <w:rsid w:val="00B769DE"/>
    <w:rsid w:val="00B806B8"/>
    <w:rsid w:val="00B8169F"/>
    <w:rsid w:val="00BA45CC"/>
    <w:rsid w:val="00BB0646"/>
    <w:rsid w:val="00BB21CC"/>
    <w:rsid w:val="00BC2E31"/>
    <w:rsid w:val="00BD0D0C"/>
    <w:rsid w:val="00BD12D1"/>
    <w:rsid w:val="00BF0382"/>
    <w:rsid w:val="00C171EA"/>
    <w:rsid w:val="00C219F4"/>
    <w:rsid w:val="00C2791A"/>
    <w:rsid w:val="00C47B15"/>
    <w:rsid w:val="00C579AD"/>
    <w:rsid w:val="00C6607A"/>
    <w:rsid w:val="00C77DDA"/>
    <w:rsid w:val="00C80ADE"/>
    <w:rsid w:val="00C82D1D"/>
    <w:rsid w:val="00C8645C"/>
    <w:rsid w:val="00C86B25"/>
    <w:rsid w:val="00C952B7"/>
    <w:rsid w:val="00C95532"/>
    <w:rsid w:val="00CB5795"/>
    <w:rsid w:val="00CC0B6F"/>
    <w:rsid w:val="00CC16CB"/>
    <w:rsid w:val="00CC2ECC"/>
    <w:rsid w:val="00CC383D"/>
    <w:rsid w:val="00CC6258"/>
    <w:rsid w:val="00CE1394"/>
    <w:rsid w:val="00CE3039"/>
    <w:rsid w:val="00CF3A8F"/>
    <w:rsid w:val="00D120F4"/>
    <w:rsid w:val="00D40B1F"/>
    <w:rsid w:val="00D469AF"/>
    <w:rsid w:val="00D51B4B"/>
    <w:rsid w:val="00D566C3"/>
    <w:rsid w:val="00D608B4"/>
    <w:rsid w:val="00D64638"/>
    <w:rsid w:val="00D85DEF"/>
    <w:rsid w:val="00D879A8"/>
    <w:rsid w:val="00D94832"/>
    <w:rsid w:val="00DA6691"/>
    <w:rsid w:val="00DB2232"/>
    <w:rsid w:val="00DE4978"/>
    <w:rsid w:val="00DF0871"/>
    <w:rsid w:val="00DF2BD9"/>
    <w:rsid w:val="00DF56FB"/>
    <w:rsid w:val="00E130D7"/>
    <w:rsid w:val="00E51F21"/>
    <w:rsid w:val="00E54113"/>
    <w:rsid w:val="00E80369"/>
    <w:rsid w:val="00E86022"/>
    <w:rsid w:val="00E93825"/>
    <w:rsid w:val="00E94EDE"/>
    <w:rsid w:val="00EA00BF"/>
    <w:rsid w:val="00EB45AD"/>
    <w:rsid w:val="00EC412C"/>
    <w:rsid w:val="00EE6A89"/>
    <w:rsid w:val="00EF7582"/>
    <w:rsid w:val="00F027F0"/>
    <w:rsid w:val="00F33061"/>
    <w:rsid w:val="00F42549"/>
    <w:rsid w:val="00F54BCA"/>
    <w:rsid w:val="00F56593"/>
    <w:rsid w:val="00F748C1"/>
    <w:rsid w:val="00F81618"/>
    <w:rsid w:val="00FB1B24"/>
    <w:rsid w:val="00FC20BB"/>
    <w:rsid w:val="00FC6B6B"/>
    <w:rsid w:val="00FD47F1"/>
    <w:rsid w:val="00FE1F88"/>
    <w:rsid w:val="00FF1106"/>
    <w:rsid w:val="00FF16CB"/>
    <w:rsid w:val="01397403"/>
    <w:rsid w:val="07733B7A"/>
    <w:rsid w:val="09E14BEC"/>
    <w:rsid w:val="0DF478F7"/>
    <w:rsid w:val="0F455AD1"/>
    <w:rsid w:val="12104B36"/>
    <w:rsid w:val="160D22A1"/>
    <w:rsid w:val="17B87F6C"/>
    <w:rsid w:val="18B95966"/>
    <w:rsid w:val="1AC12441"/>
    <w:rsid w:val="1C212716"/>
    <w:rsid w:val="1C6111D8"/>
    <w:rsid w:val="1E5EF591"/>
    <w:rsid w:val="25D07BEE"/>
    <w:rsid w:val="30FC3F6A"/>
    <w:rsid w:val="3530639B"/>
    <w:rsid w:val="375A6729"/>
    <w:rsid w:val="3AB23DE9"/>
    <w:rsid w:val="3B8B0843"/>
    <w:rsid w:val="3D0F5E81"/>
    <w:rsid w:val="3EB3456B"/>
    <w:rsid w:val="40CB3499"/>
    <w:rsid w:val="420D5323"/>
    <w:rsid w:val="42FC322C"/>
    <w:rsid w:val="4515768F"/>
    <w:rsid w:val="47DF1436"/>
    <w:rsid w:val="485574A9"/>
    <w:rsid w:val="48B76C79"/>
    <w:rsid w:val="4BEF15E9"/>
    <w:rsid w:val="4EA92FDE"/>
    <w:rsid w:val="52B3D561"/>
    <w:rsid w:val="546327DF"/>
    <w:rsid w:val="55CE132B"/>
    <w:rsid w:val="577C7118"/>
    <w:rsid w:val="590C5A61"/>
    <w:rsid w:val="59671E5D"/>
    <w:rsid w:val="5A0227E9"/>
    <w:rsid w:val="5CF612F4"/>
    <w:rsid w:val="5D8E897E"/>
    <w:rsid w:val="5E2D6537"/>
    <w:rsid w:val="5FDF2685"/>
    <w:rsid w:val="607D367A"/>
    <w:rsid w:val="62E728F6"/>
    <w:rsid w:val="63613E0A"/>
    <w:rsid w:val="69670123"/>
    <w:rsid w:val="6ADF2019"/>
    <w:rsid w:val="6E104562"/>
    <w:rsid w:val="6F3A0AB4"/>
    <w:rsid w:val="6FB7FE17"/>
    <w:rsid w:val="701B00A9"/>
    <w:rsid w:val="7143554D"/>
    <w:rsid w:val="73E85FFE"/>
    <w:rsid w:val="762B2479"/>
    <w:rsid w:val="76F70EF1"/>
    <w:rsid w:val="79513F52"/>
    <w:rsid w:val="7B771939"/>
    <w:rsid w:val="7BEABC3B"/>
    <w:rsid w:val="7EDEEADC"/>
    <w:rsid w:val="7FFF9A15"/>
    <w:rsid w:val="8BF72670"/>
    <w:rsid w:val="AB739106"/>
    <w:rsid w:val="CD3BC2D0"/>
    <w:rsid w:val="D27E43EF"/>
    <w:rsid w:val="F2BFAB61"/>
    <w:rsid w:val="F76FB457"/>
    <w:rsid w:val="F8ED366B"/>
    <w:rsid w:val="FF4F2352"/>
    <w:rsid w:val="FFF77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1"/>
    <w:unhideWhenUsed/>
    <w:qFormat/>
    <w:uiPriority w:val="0"/>
    <w:pPr>
      <w:spacing w:after="120" w:line="600" w:lineRule="exact"/>
      <w:ind w:firstLine="200" w:firstLineChars="200"/>
    </w:pPr>
    <w:rPr>
      <w:rFonts w:eastAsia="仿宋_GB2312"/>
      <w:sz w:val="32"/>
      <w:szCs w:val="22"/>
    </w:rPr>
  </w:style>
  <w:style w:type="paragraph" w:styleId="3">
    <w:name w:val="Balloon Text"/>
    <w:basedOn w:val="1"/>
    <w:link w:val="12"/>
    <w:qFormat/>
    <w:uiPriority w:val="0"/>
    <w:rPr>
      <w:sz w:val="18"/>
      <w:szCs w:val="18"/>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link w:val="1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0">
    <w:name w:val="Plain Text1"/>
    <w:basedOn w:val="1"/>
    <w:qFormat/>
    <w:uiPriority w:val="0"/>
    <w:rPr>
      <w:rFonts w:ascii="宋体" w:hAnsi="Courier New" w:eastAsia="宋体" w:cs="宋体"/>
      <w:sz w:val="30"/>
      <w:szCs w:val="21"/>
    </w:rPr>
  </w:style>
  <w:style w:type="paragraph" w:customStyle="1" w:styleId="11">
    <w:name w:val="Heading3"/>
    <w:basedOn w:val="1"/>
    <w:next w:val="1"/>
    <w:qFormat/>
    <w:uiPriority w:val="0"/>
    <w:pPr>
      <w:keepNext/>
      <w:keepLines/>
      <w:spacing w:before="260" w:after="260" w:line="416" w:lineRule="auto"/>
    </w:pPr>
    <w:rPr>
      <w:b/>
      <w:bCs/>
      <w:sz w:val="32"/>
      <w:szCs w:val="32"/>
    </w:rPr>
  </w:style>
  <w:style w:type="character" w:customStyle="1" w:styleId="12">
    <w:name w:val="批注框文本 Char"/>
    <w:basedOn w:val="7"/>
    <w:link w:val="3"/>
    <w:qFormat/>
    <w:uiPriority w:val="0"/>
    <w:rPr>
      <w:kern w:val="2"/>
      <w:sz w:val="18"/>
      <w:szCs w:val="18"/>
    </w:rPr>
  </w:style>
  <w:style w:type="paragraph" w:styleId="13">
    <w:name w:val="List Paragraph"/>
    <w:basedOn w:val="1"/>
    <w:unhideWhenUsed/>
    <w:qFormat/>
    <w:uiPriority w:val="99"/>
    <w:pPr>
      <w:ind w:firstLine="420" w:firstLineChars="200"/>
    </w:pPr>
  </w:style>
  <w:style w:type="character" w:customStyle="1" w:styleId="14">
    <w:name w:val="页眉 Char"/>
    <w:basedOn w:val="7"/>
    <w:link w:val="5"/>
    <w:qFormat/>
    <w:uiPriority w:val="0"/>
    <w:rPr>
      <w:kern w:val="2"/>
      <w:sz w:val="18"/>
      <w:szCs w:val="18"/>
    </w:rPr>
  </w:style>
  <w:style w:type="character" w:customStyle="1" w:styleId="15">
    <w:name w:val="页脚 Char"/>
    <w:basedOn w:val="7"/>
    <w:link w:val="4"/>
    <w:qFormat/>
    <w:uiPriority w:val="0"/>
    <w:rPr>
      <w:kern w:val="2"/>
      <w:sz w:val="18"/>
      <w:szCs w:val="18"/>
    </w:rPr>
  </w:style>
  <w:style w:type="character" w:customStyle="1" w:styleId="16">
    <w:name w:val="specialfontsize"/>
    <w:basedOn w:val="7"/>
    <w:qFormat/>
    <w:uiPriority w:val="0"/>
  </w:style>
  <w:style w:type="character" w:customStyle="1" w:styleId="17">
    <w:name w:val="HTML 预设格式 Char"/>
    <w:basedOn w:val="7"/>
    <w:link w:val="6"/>
    <w:qFormat/>
    <w:uiPriority w:val="99"/>
    <w:rPr>
      <w:rFonts w:ascii="宋体" w:hAnsi="宋体" w:eastAsia="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5254</Words>
  <Characters>5288</Characters>
  <Lines>3</Lines>
  <Paragraphs>1</Paragraphs>
  <TotalTime>11</TotalTime>
  <ScaleCrop>false</ScaleCrop>
  <LinksUpToDate>false</LinksUpToDate>
  <CharactersWithSpaces>5288</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2024-06-01T17:09:00Z</dcterms:created>
  <dc:creator>Administrator</dc:creator>
  <cp:lastModifiedBy>陈彦麟</cp:lastModifiedBy>
  <cp:lastPrinted>2026-05-01T15:05:00Z</cp:lastPrinted>
  <dcterms:modified xsi:type="dcterms:W3CDTF">2026-06-17T07:06:19Z</dcterms:modified>
  <cp:revision>214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y fmtid="{D5CDD505-2E9C-101B-9397-08002B2CF9AE}" pid="3" name="ICV">
    <vt:lpwstr>0CF5F13E99FBAB7AE8782F6A6D058499_43</vt:lpwstr>
  </property>
  <property fmtid="{D5CDD505-2E9C-101B-9397-08002B2CF9AE}" pid="4" name="KSOTemplateDocerSaveRecord">
    <vt:lpwstr>eyJoZGlkIjoiNzYzZmI4ZGIwMzg0MTNhOWI5MmIyMDFmZmExMjk5OWQiLCJ1c2VySWQiOiI4MDA1OTQwODAifQ==</vt:lpwstr>
  </property>
</Properties>
</file>