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sz w:val="24"/>
          <w:szCs w:val="24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服务类评分标准</w:t>
      </w:r>
    </w:p>
    <w:p>
      <w:pPr>
        <w:pStyle w:val="2"/>
        <w:rPr>
          <w:rFonts w:hint="eastAsia" w:hAnsi="宋体" w:cs="宋体"/>
        </w:rPr>
      </w:pPr>
    </w:p>
    <w:p>
      <w:pPr>
        <w:spacing w:line="360" w:lineRule="auto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一、评分选取方式</w:t>
      </w:r>
      <w:bookmarkStart w:id="0" w:name="_GoBack"/>
      <w:bookmarkEnd w:id="0"/>
    </w:p>
    <w:p>
      <w:pPr>
        <w:spacing w:line="360" w:lineRule="auto"/>
        <w:ind w:firstLine="420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评分小组先对报名的</w:t>
      </w:r>
      <w:r>
        <w:rPr>
          <w:rFonts w:hint="eastAsia" w:ascii="宋体" w:hAnsi="宋体" w:cs="宋体"/>
          <w:lang w:eastAsia="zh-CN"/>
        </w:rPr>
        <w:t>投标人</w:t>
      </w:r>
      <w:r>
        <w:rPr>
          <w:rFonts w:hint="eastAsia" w:ascii="宋体" w:hAnsi="宋体" w:cs="宋体"/>
        </w:rPr>
        <w:t>进行初步评审；然后对满足初步评审要求的</w:t>
      </w:r>
      <w:r>
        <w:rPr>
          <w:rFonts w:hint="eastAsia" w:ascii="宋体" w:hAnsi="宋体" w:cs="宋体"/>
          <w:lang w:eastAsia="zh-CN"/>
        </w:rPr>
        <w:t>投标人</w:t>
      </w:r>
      <w:r>
        <w:rPr>
          <w:rFonts w:hint="eastAsia" w:ascii="宋体" w:hAnsi="宋体" w:cs="宋体"/>
        </w:rPr>
        <w:t>，按照详细评审规定的评分标准进行打分。</w:t>
      </w:r>
    </w:p>
    <w:p>
      <w:pPr>
        <w:spacing w:line="360" w:lineRule="auto"/>
        <w:ind w:firstLine="420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评分小组成员对</w:t>
      </w:r>
      <w:r>
        <w:rPr>
          <w:rFonts w:hint="eastAsia" w:ascii="宋体" w:hAnsi="宋体" w:cs="宋体"/>
          <w:lang w:eastAsia="zh-CN"/>
        </w:rPr>
        <w:t>投标人</w:t>
      </w:r>
      <w:r>
        <w:rPr>
          <w:rFonts w:hint="eastAsia" w:ascii="宋体" w:hAnsi="宋体" w:cs="宋体"/>
        </w:rPr>
        <w:t>的详细评审各评审因素进行评分，计算出各评审因素的算术平均值后合计总和作为该</w:t>
      </w:r>
      <w:r>
        <w:rPr>
          <w:rFonts w:hint="eastAsia" w:ascii="宋体" w:hAnsi="宋体" w:cs="宋体"/>
          <w:lang w:eastAsia="zh-CN"/>
        </w:rPr>
        <w:t>投标人</w:t>
      </w:r>
      <w:r>
        <w:rPr>
          <w:rFonts w:hint="eastAsia" w:ascii="宋体" w:hAnsi="宋体" w:cs="宋体"/>
        </w:rPr>
        <w:t>的得分，并按得分由高到低顺序推荐中选机构。</w:t>
      </w:r>
    </w:p>
    <w:p>
      <w:pPr>
        <w:spacing w:line="360" w:lineRule="auto"/>
        <w:ind w:firstLine="420" w:firstLineChars="200"/>
        <w:rPr>
          <w:rFonts w:ascii="宋体" w:hAnsi="宋体" w:cs="宋体"/>
          <w:u w:val="single"/>
        </w:rPr>
      </w:pPr>
      <w:r>
        <w:rPr>
          <w:rFonts w:hint="eastAsia" w:ascii="仿宋_GB2312" w:hAnsi="华文仿宋"/>
          <w:szCs w:val="32"/>
          <w:u w:val="single"/>
        </w:rPr>
        <w:t>如有两家或以上</w:t>
      </w:r>
      <w:r>
        <w:rPr>
          <w:rFonts w:hint="eastAsia" w:ascii="仿宋_GB2312" w:hAnsi="华文仿宋"/>
          <w:szCs w:val="32"/>
          <w:u w:val="single"/>
          <w:lang w:eastAsia="zh-CN"/>
        </w:rPr>
        <w:t>投标人</w:t>
      </w:r>
      <w:r>
        <w:rPr>
          <w:rFonts w:hint="eastAsia" w:ascii="仿宋_GB2312" w:hAnsi="华文仿宋"/>
          <w:szCs w:val="32"/>
          <w:u w:val="single"/>
        </w:rPr>
        <w:t>的综合得分相同且得分均为最高，</w:t>
      </w:r>
      <w:r>
        <w:rPr>
          <w:rFonts w:hint="eastAsia" w:ascii="宋体" w:hAnsi="宋体" w:cs="宋体"/>
          <w:u w:val="single"/>
        </w:rPr>
        <w:t>评分小组视</w:t>
      </w:r>
      <w:r>
        <w:rPr>
          <w:rFonts w:hint="eastAsia" w:ascii="宋体" w:hAnsi="宋体" w:cs="宋体"/>
          <w:u w:val="single"/>
          <w:lang w:eastAsia="zh-CN"/>
        </w:rPr>
        <w:t>投标人</w:t>
      </w:r>
      <w:r>
        <w:rPr>
          <w:rFonts w:hint="eastAsia" w:ascii="宋体" w:hAnsi="宋体" w:cs="宋体"/>
          <w:u w:val="single"/>
        </w:rPr>
        <w:t>的情况综合比较，投票确定其名次。</w:t>
      </w:r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 w:ascii="宋体" w:hAnsi="宋体" w:cs="宋体"/>
        </w:rPr>
        <w:t>二、初步评审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67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180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评审因素</w:t>
            </w:r>
          </w:p>
        </w:tc>
        <w:tc>
          <w:tcPr>
            <w:tcW w:w="671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评审标准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1" w:hRule="atLeast"/>
        </w:trPr>
        <w:tc>
          <w:tcPr>
            <w:tcW w:w="1809" w:type="dxa"/>
            <w:noWrap w:val="0"/>
            <w:vAlign w:val="center"/>
          </w:tcPr>
          <w:p>
            <w:pPr>
              <w:adjustRightInd/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资质</w:t>
            </w:r>
          </w:p>
        </w:tc>
        <w:tc>
          <w:tcPr>
            <w:tcW w:w="6713" w:type="dxa"/>
            <w:noWrap w:val="0"/>
            <w:vAlign w:val="center"/>
          </w:tcPr>
          <w:p>
            <w:pPr>
              <w:adjustRightInd/>
              <w:spacing w:line="360" w:lineRule="auto"/>
              <w:jc w:val="both"/>
              <w:textAlignment w:val="auto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（1）在中华人民共和国境内依法注册的具有合法经营资格的独立法人；</w:t>
            </w:r>
          </w:p>
          <w:p>
            <w:pPr>
              <w:adjustRightInd/>
              <w:spacing w:line="360" w:lineRule="auto"/>
              <w:jc w:val="both"/>
              <w:textAlignment w:val="auto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（2）具备相应行业资质；</w:t>
            </w:r>
          </w:p>
          <w:p>
            <w:pPr>
              <w:adjustRightInd/>
              <w:spacing w:line="360" w:lineRule="auto"/>
              <w:jc w:val="both"/>
              <w:textAlignment w:val="auto"/>
              <w:rPr>
                <w:rFonts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4" w:hRule="atLeast"/>
        </w:trPr>
        <w:tc>
          <w:tcPr>
            <w:tcW w:w="1809" w:type="dxa"/>
            <w:noWrap w:val="0"/>
            <w:vAlign w:val="center"/>
          </w:tcPr>
          <w:p>
            <w:pPr>
              <w:adjustRightInd/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信用</w:t>
            </w:r>
          </w:p>
        </w:tc>
        <w:tc>
          <w:tcPr>
            <w:tcW w:w="6713" w:type="dxa"/>
            <w:noWrap w:val="0"/>
            <w:vAlign w:val="center"/>
          </w:tcPr>
          <w:p>
            <w:pPr>
              <w:adjustRightInd/>
              <w:spacing w:line="360" w:lineRule="auto"/>
              <w:jc w:val="both"/>
              <w:textAlignment w:val="auto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（1）</w:t>
            </w:r>
            <w:r>
              <w:rPr>
                <w:rFonts w:hint="eastAsia" w:ascii="宋体" w:hAnsi="宋体" w:cs="宋体"/>
                <w:lang w:eastAsia="zh-CN"/>
              </w:rPr>
              <w:t>投标人</w:t>
            </w:r>
            <w:r>
              <w:rPr>
                <w:rFonts w:hint="eastAsia" w:ascii="宋体" w:hAnsi="宋体" w:cs="宋体"/>
              </w:rPr>
              <w:t>在国家企业信用信息公示系统中未被列入严重违法失信企业名单；</w:t>
            </w:r>
          </w:p>
          <w:p>
            <w:pPr>
              <w:adjustRightInd/>
              <w:spacing w:line="360" w:lineRule="auto"/>
              <w:jc w:val="both"/>
              <w:textAlignment w:val="auto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（2）在“信用中国”网站或地方信用网站的信用信息报告无不良记录。</w:t>
            </w:r>
          </w:p>
          <w:p>
            <w:pPr>
              <w:adjustRightInd/>
              <w:spacing w:line="360" w:lineRule="auto"/>
              <w:jc w:val="both"/>
              <w:textAlignment w:val="auto"/>
              <w:rPr>
                <w:rFonts w:hint="eastAsia" w:ascii="宋体" w:hAnsi="宋体" w:cs="宋体"/>
              </w:rPr>
            </w:pPr>
          </w:p>
          <w:p>
            <w:pPr>
              <w:adjustRightInd/>
              <w:spacing w:line="360" w:lineRule="auto"/>
              <w:jc w:val="both"/>
              <w:textAlignment w:val="auto"/>
              <w:rPr>
                <w:rFonts w:hint="eastAsia"/>
              </w:rPr>
            </w:pPr>
            <w:r>
              <w:rPr>
                <w:rFonts w:hint="eastAsia" w:ascii="宋体" w:hAnsi="宋体" w:cs="宋体"/>
              </w:rPr>
              <w:t>注：如</w:t>
            </w:r>
            <w:r>
              <w:rPr>
                <w:rFonts w:hint="eastAsia" w:ascii="宋体" w:hAnsi="宋体" w:cs="宋体"/>
                <w:lang w:eastAsia="zh-CN"/>
              </w:rPr>
              <w:t>投标人</w:t>
            </w:r>
            <w:r>
              <w:rPr>
                <w:rFonts w:hint="eastAsia" w:ascii="宋体" w:hAnsi="宋体" w:cs="宋体"/>
              </w:rPr>
              <w:t>未提交上述证明材料，则由评选小组核查；如</w:t>
            </w:r>
            <w:r>
              <w:rPr>
                <w:rFonts w:hint="eastAsia" w:ascii="宋体" w:hAnsi="宋体" w:cs="宋体"/>
                <w:lang w:eastAsia="zh-CN"/>
              </w:rPr>
              <w:t>投标人</w:t>
            </w:r>
            <w:r>
              <w:rPr>
                <w:rFonts w:hint="eastAsia" w:ascii="宋体" w:hAnsi="宋体" w:cs="宋体"/>
              </w:rPr>
              <w:t>为事业单位，无法提供国家企业信用信息公示系统截图，则视作通过。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1809" w:type="dxa"/>
            <w:noWrap w:val="0"/>
            <w:vAlign w:val="center"/>
          </w:tcPr>
          <w:p>
            <w:pPr>
              <w:adjustRightInd/>
              <w:spacing w:line="360" w:lineRule="auto"/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总体方案</w:t>
            </w:r>
          </w:p>
        </w:tc>
        <w:tc>
          <w:tcPr>
            <w:tcW w:w="6713" w:type="dxa"/>
            <w:noWrap w:val="0"/>
            <w:vAlign w:val="center"/>
          </w:tcPr>
          <w:p>
            <w:pPr>
              <w:adjustRightInd/>
              <w:spacing w:line="360" w:lineRule="auto"/>
              <w:jc w:val="both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cs="宋体"/>
                <w:lang w:eastAsia="zh-CN"/>
              </w:rPr>
              <w:t>报送服务方案是否总体响应采购需求书。（不涉及报价）</w:t>
            </w:r>
          </w:p>
        </w:tc>
      </w:tr>
    </w:tbl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spacing w:line="360" w:lineRule="auto"/>
        <w:ind w:firstLine="420" w:firstLineChars="200"/>
      </w:pPr>
      <w:r>
        <w:rPr>
          <w:rFonts w:hint="eastAsia" w:ascii="宋体" w:hAnsi="宋体" w:cs="宋体"/>
        </w:rPr>
        <w:t>三、详细评审</w:t>
      </w:r>
    </w:p>
    <w:tbl>
      <w:tblPr>
        <w:tblStyle w:val="8"/>
        <w:tblW w:w="95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0"/>
        <w:gridCol w:w="2551"/>
        <w:gridCol w:w="53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4171" w:type="dxa"/>
            <w:gridSpan w:val="2"/>
            <w:noWrap w:val="0"/>
            <w:vAlign w:val="center"/>
          </w:tcPr>
          <w:p>
            <w:pPr>
              <w:spacing w:line="276" w:lineRule="auto"/>
              <w:jc w:val="center"/>
              <w:rPr>
                <w:rFonts w:ascii="宋体" w:hAnsi="宋体" w:cs="宋体"/>
                <w:b/>
              </w:rPr>
            </w:pPr>
            <w:r>
              <w:br w:type="page"/>
            </w:r>
            <w:r>
              <w:rPr>
                <w:rFonts w:hint="eastAsia" w:ascii="宋体" w:hAnsi="宋体" w:cs="宋体"/>
                <w:b/>
              </w:rPr>
              <w:t>评审因素与评分值</w:t>
            </w:r>
          </w:p>
        </w:tc>
        <w:tc>
          <w:tcPr>
            <w:tcW w:w="5389" w:type="dxa"/>
            <w:vMerge w:val="restart"/>
            <w:noWrap w:val="0"/>
            <w:vAlign w:val="center"/>
          </w:tcPr>
          <w:p>
            <w:pPr>
              <w:spacing w:line="276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620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评审因素</w:t>
            </w:r>
          </w:p>
        </w:tc>
        <w:tc>
          <w:tcPr>
            <w:tcW w:w="2551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分值</w:t>
            </w:r>
          </w:p>
        </w:tc>
        <w:tc>
          <w:tcPr>
            <w:tcW w:w="5389" w:type="dxa"/>
            <w:vMerge w:val="continue"/>
            <w:noWrap w:val="0"/>
            <w:vAlign w:val="center"/>
          </w:tcPr>
          <w:p>
            <w:pPr>
              <w:spacing w:line="276" w:lineRule="auto"/>
              <w:jc w:val="both"/>
              <w:rPr>
                <w:rFonts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7" w:hRule="atLeast"/>
          <w:jc w:val="center"/>
        </w:trPr>
        <w:tc>
          <w:tcPr>
            <w:tcW w:w="1620" w:type="dxa"/>
            <w:noWrap w:val="0"/>
            <w:vAlign w:val="center"/>
          </w:tcPr>
          <w:p>
            <w:pPr>
              <w:adjustRightInd/>
              <w:spacing w:line="276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eastAsia="zh-CN"/>
              </w:rPr>
              <w:t>运营服务</w:t>
            </w:r>
            <w:r>
              <w:rPr>
                <w:rFonts w:hint="eastAsia" w:ascii="宋体" w:hAnsi="宋体" w:cs="宋体"/>
              </w:rPr>
              <w:t>方案</w:t>
            </w:r>
          </w:p>
          <w:p>
            <w:pPr>
              <w:adjustRightInd/>
              <w:spacing w:line="276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建议书</w:t>
            </w:r>
          </w:p>
        </w:tc>
        <w:tc>
          <w:tcPr>
            <w:tcW w:w="2551" w:type="dxa"/>
            <w:noWrap w:val="0"/>
            <w:vAlign w:val="center"/>
          </w:tcPr>
          <w:p>
            <w:pPr>
              <w:adjustRightInd/>
              <w:spacing w:line="276" w:lineRule="auto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50</w:t>
            </w:r>
          </w:p>
        </w:tc>
        <w:tc>
          <w:tcPr>
            <w:tcW w:w="5389" w:type="dxa"/>
            <w:noWrap w:val="0"/>
            <w:vAlign w:val="center"/>
          </w:tcPr>
          <w:p>
            <w:pPr>
              <w:adjustRightInd/>
              <w:spacing w:line="276" w:lineRule="auto"/>
              <w:jc w:val="both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根据对服务工作范围和任务描述准确程度和总体思路清晰、切实可行程度，对</w:t>
            </w:r>
            <w:r>
              <w:rPr>
                <w:rFonts w:hint="eastAsia" w:ascii="宋体" w:hAnsi="宋体"/>
                <w:lang w:eastAsia="zh-CN"/>
              </w:rPr>
              <w:t>日常服务供餐</w:t>
            </w:r>
            <w:r>
              <w:rPr>
                <w:rFonts w:hint="eastAsia" w:ascii="宋体" w:hAnsi="宋体"/>
              </w:rPr>
              <w:t>计划</w:t>
            </w:r>
            <w:r>
              <w:rPr>
                <w:rFonts w:hint="eastAsia" w:ascii="宋体" w:hAnsi="宋体"/>
                <w:lang w:eastAsia="zh-CN"/>
              </w:rPr>
              <w:t>、食品检测、管理体系、食品上下游溯源、食材供应基地等</w:t>
            </w:r>
            <w:r>
              <w:rPr>
                <w:rFonts w:hint="eastAsia" w:ascii="宋体" w:hAnsi="宋体"/>
              </w:rPr>
              <w:t>合理程度、质量保证措施等是否完善、可行，是否符合采购需求等进行综合比较，</w:t>
            </w:r>
          </w:p>
          <w:p>
            <w:pPr>
              <w:adjustRightInd/>
              <w:spacing w:line="276" w:lineRule="auto"/>
              <w:jc w:val="both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优：</w:t>
            </w:r>
            <w:r>
              <w:rPr>
                <w:rFonts w:hint="eastAsia" w:ascii="宋体" w:hAnsi="宋体"/>
                <w:lang w:val="en-US" w:eastAsia="zh-CN"/>
              </w:rPr>
              <w:t>40</w:t>
            </w:r>
            <w:r>
              <w:rPr>
                <w:rFonts w:hint="eastAsia" w:ascii="宋体" w:hAnsi="宋体"/>
              </w:rPr>
              <w:t>&lt; 得分 ≤</w:t>
            </w:r>
            <w:r>
              <w:rPr>
                <w:rFonts w:hint="eastAsia" w:ascii="宋体" w:hAnsi="宋体"/>
                <w:lang w:val="en-US" w:eastAsia="zh-CN"/>
              </w:rPr>
              <w:t>50</w:t>
            </w:r>
            <w:r>
              <w:rPr>
                <w:rFonts w:hint="eastAsia" w:ascii="宋体" w:hAnsi="宋体"/>
              </w:rPr>
              <w:t>，</w:t>
            </w:r>
          </w:p>
          <w:p>
            <w:pPr>
              <w:adjustRightInd/>
              <w:spacing w:line="276" w:lineRule="auto"/>
              <w:jc w:val="both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良：</w:t>
            </w:r>
            <w:r>
              <w:rPr>
                <w:rFonts w:hint="eastAsia" w:ascii="宋体" w:hAnsi="宋体"/>
                <w:lang w:val="en-US" w:eastAsia="zh-CN"/>
              </w:rPr>
              <w:t>30</w:t>
            </w:r>
            <w:r>
              <w:rPr>
                <w:rFonts w:hint="eastAsia" w:ascii="宋体" w:hAnsi="宋体"/>
              </w:rPr>
              <w:t>&lt; 得分 ≤</w:t>
            </w:r>
            <w:r>
              <w:rPr>
                <w:rFonts w:hint="eastAsia" w:ascii="宋体" w:hAnsi="宋体"/>
                <w:lang w:val="en-US" w:eastAsia="zh-CN"/>
              </w:rPr>
              <w:t>40</w:t>
            </w:r>
            <w:r>
              <w:rPr>
                <w:rFonts w:hint="eastAsia" w:ascii="宋体" w:hAnsi="宋体"/>
              </w:rPr>
              <w:t>，</w:t>
            </w:r>
          </w:p>
          <w:p>
            <w:pPr>
              <w:adjustRightInd/>
              <w:spacing w:line="276" w:lineRule="auto"/>
              <w:jc w:val="both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一般：</w:t>
            </w:r>
            <w:r>
              <w:rPr>
                <w:rFonts w:hint="eastAsia" w:ascii="宋体" w:hAnsi="宋体"/>
                <w:lang w:val="en-US" w:eastAsia="zh-CN"/>
              </w:rPr>
              <w:t>25</w:t>
            </w:r>
            <w:r>
              <w:rPr>
                <w:rFonts w:hint="eastAsia" w:ascii="宋体" w:hAnsi="宋体"/>
              </w:rPr>
              <w:t>&lt; 得分 ≤</w:t>
            </w:r>
            <w:r>
              <w:rPr>
                <w:rFonts w:hint="eastAsia" w:ascii="宋体" w:hAnsi="宋体"/>
                <w:lang w:val="en-US" w:eastAsia="zh-CN"/>
              </w:rPr>
              <w:t>30</w:t>
            </w:r>
            <w:r>
              <w:rPr>
                <w:rFonts w:hint="eastAsia" w:ascii="宋体" w:hAnsi="宋体"/>
              </w:rPr>
              <w:t>，</w:t>
            </w:r>
          </w:p>
          <w:p>
            <w:pPr>
              <w:pStyle w:val="2"/>
              <w:rPr>
                <w:rFonts w:hint="eastAsia" w:hAnsi="宋体"/>
                <w:sz w:val="21"/>
                <w:szCs w:val="21"/>
              </w:rPr>
            </w:pPr>
            <w:r>
              <w:rPr>
                <w:rFonts w:hint="eastAsia" w:hAnsi="宋体"/>
                <w:sz w:val="21"/>
                <w:szCs w:val="21"/>
              </w:rPr>
              <w:t>未提交：0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8" w:hRule="atLeast"/>
          <w:jc w:val="center"/>
        </w:trPr>
        <w:tc>
          <w:tcPr>
            <w:tcW w:w="1620" w:type="dxa"/>
            <w:noWrap w:val="0"/>
            <w:vAlign w:val="center"/>
          </w:tcPr>
          <w:p>
            <w:pPr>
              <w:adjustRightInd/>
              <w:spacing w:line="276" w:lineRule="auto"/>
              <w:jc w:val="center"/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eastAsia="zh-CN"/>
              </w:rPr>
              <w:t>突发事件应急预案</w:t>
            </w:r>
          </w:p>
        </w:tc>
        <w:tc>
          <w:tcPr>
            <w:tcW w:w="2551" w:type="dxa"/>
            <w:noWrap w:val="0"/>
            <w:vAlign w:val="center"/>
          </w:tcPr>
          <w:p>
            <w:pPr>
              <w:adjustRightInd/>
              <w:spacing w:line="276" w:lineRule="auto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20</w:t>
            </w:r>
          </w:p>
        </w:tc>
        <w:tc>
          <w:tcPr>
            <w:tcW w:w="5389" w:type="dxa"/>
            <w:noWrap w:val="0"/>
            <w:vAlign w:val="center"/>
          </w:tcPr>
          <w:p>
            <w:pPr>
              <w:pStyle w:val="2"/>
              <w:rPr>
                <w:rFonts w:hint="eastAsia" w:hAnsi="宋体"/>
                <w:sz w:val="21"/>
                <w:szCs w:val="21"/>
                <w:lang w:eastAsia="zh-CN"/>
              </w:rPr>
            </w:pPr>
            <w:r>
              <w:rPr>
                <w:rFonts w:hint="eastAsia" w:hAnsi="宋体"/>
                <w:sz w:val="21"/>
                <w:szCs w:val="21"/>
                <w:lang w:eastAsia="zh-CN"/>
              </w:rPr>
              <w:t>根据对本项服务的安全风险的预判性，对自然灾害、停电、停水、火灾、食物中毒等紧急事件的应急措施和补救方案进行综合评价。</w:t>
            </w:r>
          </w:p>
          <w:p>
            <w:pPr>
              <w:adjustRightInd/>
              <w:spacing w:line="276" w:lineRule="auto"/>
              <w:jc w:val="both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优：</w:t>
            </w:r>
            <w:r>
              <w:rPr>
                <w:rFonts w:hint="eastAsia" w:ascii="宋体" w:hAnsi="宋体"/>
                <w:lang w:val="en-US" w:eastAsia="zh-CN"/>
              </w:rPr>
              <w:t>15</w:t>
            </w:r>
            <w:r>
              <w:rPr>
                <w:rFonts w:hint="eastAsia" w:ascii="宋体" w:hAnsi="宋体"/>
              </w:rPr>
              <w:t xml:space="preserve"> &lt; 得分 ≤</w:t>
            </w:r>
            <w:r>
              <w:rPr>
                <w:rFonts w:hint="eastAsia" w:ascii="宋体" w:hAnsi="宋体"/>
                <w:lang w:val="en-US" w:eastAsia="zh-CN"/>
              </w:rPr>
              <w:t>20</w:t>
            </w:r>
            <w:r>
              <w:rPr>
                <w:rFonts w:hint="eastAsia" w:ascii="宋体" w:hAnsi="宋体"/>
              </w:rPr>
              <w:t>，</w:t>
            </w:r>
          </w:p>
          <w:p>
            <w:pPr>
              <w:adjustRightInd/>
              <w:spacing w:line="276" w:lineRule="auto"/>
              <w:jc w:val="both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良：</w:t>
            </w:r>
            <w:r>
              <w:rPr>
                <w:rFonts w:hint="eastAsia" w:ascii="宋体" w:hAnsi="宋体"/>
                <w:lang w:val="en-US" w:eastAsia="zh-CN"/>
              </w:rPr>
              <w:t>12</w:t>
            </w:r>
            <w:r>
              <w:rPr>
                <w:rFonts w:hint="eastAsia" w:ascii="宋体" w:hAnsi="宋体"/>
              </w:rPr>
              <w:t>&lt; 得分 ≤</w:t>
            </w:r>
            <w:r>
              <w:rPr>
                <w:rFonts w:hint="eastAsia" w:ascii="宋体" w:hAnsi="宋体"/>
                <w:lang w:val="en-US" w:eastAsia="zh-CN"/>
              </w:rPr>
              <w:t>15</w:t>
            </w:r>
            <w:r>
              <w:rPr>
                <w:rFonts w:hint="eastAsia" w:ascii="宋体" w:hAnsi="宋体"/>
              </w:rPr>
              <w:t>，</w:t>
            </w:r>
          </w:p>
          <w:p>
            <w:pPr>
              <w:adjustRightInd/>
              <w:spacing w:line="276" w:lineRule="auto"/>
              <w:jc w:val="both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一般：</w:t>
            </w:r>
            <w:r>
              <w:rPr>
                <w:rFonts w:hint="eastAsia" w:ascii="宋体" w:hAnsi="宋体"/>
                <w:lang w:val="en-US" w:eastAsia="zh-CN"/>
              </w:rPr>
              <w:t>10</w:t>
            </w:r>
            <w:r>
              <w:rPr>
                <w:rFonts w:hint="eastAsia" w:ascii="宋体" w:hAnsi="宋体"/>
              </w:rPr>
              <w:t>&lt; 得分 ≤</w:t>
            </w:r>
            <w:r>
              <w:rPr>
                <w:rFonts w:hint="eastAsia" w:ascii="宋体" w:hAnsi="宋体"/>
                <w:lang w:val="en-US" w:eastAsia="zh-CN"/>
              </w:rPr>
              <w:t>12</w:t>
            </w:r>
            <w:r>
              <w:rPr>
                <w:rFonts w:hint="eastAsia" w:ascii="宋体" w:hAnsi="宋体"/>
              </w:rPr>
              <w:t>，</w:t>
            </w:r>
          </w:p>
          <w:p>
            <w:pPr>
              <w:pStyle w:val="2"/>
              <w:rPr>
                <w:rFonts w:hint="eastAsia" w:ascii="宋体" w:hAnsi="宋体"/>
                <w:kern w:val="0"/>
                <w:sz w:val="21"/>
                <w:szCs w:val="21"/>
                <w:lang w:val="zh-CN" w:eastAsia="zh-CN" w:bidi="ar-SA"/>
              </w:rPr>
            </w:pPr>
            <w:r>
              <w:rPr>
                <w:rFonts w:hint="eastAsia" w:hAnsi="宋体"/>
                <w:sz w:val="21"/>
                <w:szCs w:val="21"/>
              </w:rPr>
              <w:t>未提交：0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5" w:hRule="atLeast"/>
          <w:jc w:val="center"/>
        </w:trPr>
        <w:tc>
          <w:tcPr>
            <w:tcW w:w="1620" w:type="dxa"/>
            <w:noWrap w:val="0"/>
            <w:vAlign w:val="center"/>
          </w:tcPr>
          <w:p>
            <w:pPr>
              <w:adjustRightInd/>
              <w:spacing w:line="276" w:lineRule="auto"/>
              <w:jc w:val="center"/>
              <w:rPr>
                <w:rFonts w:ascii="宋体" w:hAnsi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</w:rPr>
              <w:t>企业业绩</w:t>
            </w:r>
          </w:p>
        </w:tc>
        <w:tc>
          <w:tcPr>
            <w:tcW w:w="2551" w:type="dxa"/>
            <w:noWrap w:val="0"/>
            <w:vAlign w:val="center"/>
          </w:tcPr>
          <w:p>
            <w:pPr>
              <w:adjustRightInd/>
              <w:spacing w:line="276" w:lineRule="auto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10</w:t>
            </w:r>
          </w:p>
        </w:tc>
        <w:tc>
          <w:tcPr>
            <w:tcW w:w="5389" w:type="dxa"/>
            <w:noWrap w:val="0"/>
            <w:vAlign w:val="center"/>
          </w:tcPr>
          <w:p>
            <w:pPr>
              <w:topLinePunct/>
              <w:adjustRightInd/>
              <w:spacing w:line="288" w:lineRule="auto"/>
              <w:jc w:val="both"/>
              <w:textAlignment w:val="auto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根据</w:t>
            </w:r>
            <w:r>
              <w:rPr>
                <w:rFonts w:hint="eastAsia" w:ascii="宋体" w:hAnsi="宋体"/>
                <w:lang w:eastAsia="zh-CN"/>
              </w:rPr>
              <w:t>投标</w:t>
            </w:r>
            <w:r>
              <w:rPr>
                <w:rFonts w:hint="eastAsia" w:ascii="宋体" w:hAnsi="宋体"/>
              </w:rPr>
              <w:t>提供的类似项目业绩综合比较打分，</w:t>
            </w:r>
          </w:p>
          <w:p>
            <w:pPr>
              <w:adjustRightInd/>
              <w:spacing w:line="276" w:lineRule="auto"/>
              <w:jc w:val="both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优：</w:t>
            </w: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 xml:space="preserve"> &lt; 得分 ≤</w:t>
            </w:r>
            <w:r>
              <w:rPr>
                <w:rFonts w:hint="eastAsia" w:ascii="宋体" w:hAnsi="宋体"/>
                <w:lang w:val="en-US" w:eastAsia="zh-CN"/>
              </w:rPr>
              <w:t>10</w:t>
            </w:r>
            <w:r>
              <w:rPr>
                <w:rFonts w:hint="eastAsia" w:ascii="宋体" w:hAnsi="宋体"/>
              </w:rPr>
              <w:t>，</w:t>
            </w:r>
          </w:p>
          <w:p>
            <w:pPr>
              <w:adjustRightInd/>
              <w:spacing w:line="276" w:lineRule="auto"/>
              <w:jc w:val="both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良：</w:t>
            </w:r>
            <w:r>
              <w:rPr>
                <w:rFonts w:hint="eastAsia" w:ascii="宋体" w:hAnsi="宋体"/>
                <w:lang w:val="en-US" w:eastAsia="zh-CN"/>
              </w:rPr>
              <w:t>6</w:t>
            </w:r>
            <w:r>
              <w:rPr>
                <w:rFonts w:hint="eastAsia" w:ascii="宋体" w:hAnsi="宋体"/>
              </w:rPr>
              <w:t>&lt; 得分 ≤</w:t>
            </w: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，</w:t>
            </w:r>
          </w:p>
          <w:p>
            <w:pPr>
              <w:adjustRightInd/>
              <w:spacing w:line="276" w:lineRule="auto"/>
              <w:jc w:val="both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一般：</w:t>
            </w: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eastAsia" w:ascii="宋体" w:hAnsi="宋体"/>
              </w:rPr>
              <w:t>&lt; 得分 ≤</w:t>
            </w:r>
            <w:r>
              <w:rPr>
                <w:rFonts w:hint="eastAsia" w:ascii="宋体" w:hAnsi="宋体"/>
                <w:lang w:val="en-US" w:eastAsia="zh-CN"/>
              </w:rPr>
              <w:t>6</w:t>
            </w:r>
            <w:r>
              <w:rPr>
                <w:rFonts w:hint="eastAsia" w:ascii="宋体" w:hAnsi="宋体"/>
              </w:rPr>
              <w:t>，</w:t>
            </w:r>
          </w:p>
          <w:p>
            <w:pPr>
              <w:pStyle w:val="2"/>
              <w:rPr>
                <w:rFonts w:hint="eastAsia" w:ascii="宋体" w:hAnsi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 w:val="21"/>
                <w:szCs w:val="21"/>
              </w:rPr>
              <w:t>未提交：0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3" w:hRule="atLeast"/>
          <w:jc w:val="center"/>
        </w:trPr>
        <w:tc>
          <w:tcPr>
            <w:tcW w:w="1620" w:type="dxa"/>
            <w:noWrap w:val="0"/>
            <w:vAlign w:val="center"/>
          </w:tcPr>
          <w:p>
            <w:pPr>
              <w:adjustRightInd/>
              <w:spacing w:line="276" w:lineRule="auto"/>
              <w:jc w:val="center"/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</w:rPr>
              <w:t>拟投入主要人员</w:t>
            </w:r>
          </w:p>
        </w:tc>
        <w:tc>
          <w:tcPr>
            <w:tcW w:w="2551" w:type="dxa"/>
            <w:noWrap w:val="0"/>
            <w:vAlign w:val="center"/>
          </w:tcPr>
          <w:p>
            <w:pPr>
              <w:adjustRightInd/>
              <w:spacing w:line="276" w:lineRule="auto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10</w:t>
            </w:r>
          </w:p>
        </w:tc>
        <w:tc>
          <w:tcPr>
            <w:tcW w:w="5389" w:type="dxa"/>
            <w:noWrap w:val="0"/>
            <w:vAlign w:val="center"/>
          </w:tcPr>
          <w:p>
            <w:pPr>
              <w:adjustRightInd/>
              <w:spacing w:line="276" w:lineRule="auto"/>
              <w:jc w:val="both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根据</w:t>
            </w:r>
            <w:r>
              <w:rPr>
                <w:rFonts w:hint="eastAsia" w:ascii="宋体" w:hAnsi="宋体"/>
                <w:lang w:eastAsia="zh-CN"/>
              </w:rPr>
              <w:t>投标人</w:t>
            </w:r>
            <w:r>
              <w:rPr>
                <w:rFonts w:hint="eastAsia" w:ascii="宋体" w:hAnsi="宋体"/>
              </w:rPr>
              <w:t>提供的</w:t>
            </w:r>
            <w:r>
              <w:rPr>
                <w:rFonts w:hint="eastAsia" w:ascii="宋体" w:hAnsi="宋体"/>
                <w:lang w:eastAsia="zh-CN"/>
              </w:rPr>
              <w:t>拟派</w:t>
            </w:r>
            <w:r>
              <w:rPr>
                <w:rFonts w:hint="eastAsia" w:ascii="宋体" w:hAnsi="宋体"/>
              </w:rPr>
              <w:t>人员任职资格</w:t>
            </w:r>
            <w:r>
              <w:rPr>
                <w:rFonts w:hint="eastAsia" w:ascii="宋体" w:hAnsi="宋体"/>
                <w:lang w:eastAsia="zh-CN"/>
              </w:rPr>
              <w:t>、职业技能情况</w:t>
            </w:r>
            <w:r>
              <w:rPr>
                <w:rFonts w:hint="eastAsia" w:ascii="宋体" w:hAnsi="宋体"/>
              </w:rPr>
              <w:t>综合比较打分，</w:t>
            </w:r>
          </w:p>
          <w:p>
            <w:pPr>
              <w:adjustRightInd/>
              <w:spacing w:line="276" w:lineRule="auto"/>
              <w:jc w:val="both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优：</w:t>
            </w: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 xml:space="preserve"> &lt; 得分 ≤</w:t>
            </w:r>
            <w:r>
              <w:rPr>
                <w:rFonts w:hint="eastAsia" w:ascii="宋体" w:hAnsi="宋体"/>
                <w:lang w:val="en-US" w:eastAsia="zh-CN"/>
              </w:rPr>
              <w:t>10</w:t>
            </w:r>
            <w:r>
              <w:rPr>
                <w:rFonts w:hint="eastAsia" w:ascii="宋体" w:hAnsi="宋体"/>
              </w:rPr>
              <w:t>，</w:t>
            </w:r>
          </w:p>
          <w:p>
            <w:pPr>
              <w:adjustRightInd/>
              <w:spacing w:line="276" w:lineRule="auto"/>
              <w:jc w:val="both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良：</w:t>
            </w:r>
            <w:r>
              <w:rPr>
                <w:rFonts w:hint="eastAsia" w:ascii="宋体" w:hAnsi="宋体"/>
                <w:lang w:val="en-US" w:eastAsia="zh-CN"/>
              </w:rPr>
              <w:t>6</w:t>
            </w:r>
            <w:r>
              <w:rPr>
                <w:rFonts w:hint="eastAsia" w:ascii="宋体" w:hAnsi="宋体"/>
              </w:rPr>
              <w:t>&lt; 得分 ≤</w:t>
            </w: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，</w:t>
            </w:r>
          </w:p>
          <w:p>
            <w:pPr>
              <w:adjustRightInd/>
              <w:spacing w:line="276" w:lineRule="auto"/>
              <w:jc w:val="both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一般：</w:t>
            </w: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eastAsia" w:ascii="宋体" w:hAnsi="宋体"/>
              </w:rPr>
              <w:t>&lt; 得分 ≤</w:t>
            </w:r>
            <w:r>
              <w:rPr>
                <w:rFonts w:hint="eastAsia" w:ascii="宋体" w:hAnsi="宋体"/>
                <w:lang w:val="en-US" w:eastAsia="zh-CN"/>
              </w:rPr>
              <w:t>6</w:t>
            </w:r>
            <w:r>
              <w:rPr>
                <w:rFonts w:hint="eastAsia" w:ascii="宋体" w:hAnsi="宋体"/>
              </w:rPr>
              <w:t>，</w:t>
            </w:r>
          </w:p>
          <w:p>
            <w:pPr>
              <w:pStyle w:val="2"/>
              <w:rPr>
                <w:rFonts w:hint="eastAsia" w:ascii="宋体" w:hAnsi="宋体"/>
                <w:kern w:val="0"/>
                <w:sz w:val="21"/>
                <w:szCs w:val="21"/>
                <w:lang w:val="zh-CN" w:eastAsia="zh-CN" w:bidi="ar-SA"/>
              </w:rPr>
            </w:pPr>
            <w:r>
              <w:rPr>
                <w:rFonts w:hint="eastAsia" w:hAnsi="宋体"/>
                <w:sz w:val="21"/>
                <w:szCs w:val="21"/>
              </w:rPr>
              <w:t>未提交：0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6" w:hRule="atLeast"/>
          <w:jc w:val="center"/>
        </w:trPr>
        <w:tc>
          <w:tcPr>
            <w:tcW w:w="1620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lang w:eastAsia="zh-CN"/>
              </w:rPr>
              <w:t>拟投入设备</w:t>
            </w:r>
          </w:p>
        </w:tc>
        <w:tc>
          <w:tcPr>
            <w:tcW w:w="2551" w:type="dxa"/>
            <w:noWrap w:val="0"/>
            <w:vAlign w:val="center"/>
          </w:tcPr>
          <w:p>
            <w:pPr>
              <w:pStyle w:val="2"/>
              <w:jc w:val="center"/>
              <w:rPr>
                <w:rFonts w:hint="default" w:ascii="宋体" w:hAnsi="宋体" w:eastAsia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10</w:t>
            </w:r>
          </w:p>
        </w:tc>
        <w:tc>
          <w:tcPr>
            <w:tcW w:w="5389" w:type="dxa"/>
            <w:noWrap w:val="0"/>
            <w:vAlign w:val="center"/>
          </w:tcPr>
          <w:p>
            <w:pPr>
              <w:adjustRightInd/>
              <w:spacing w:line="276" w:lineRule="auto"/>
              <w:jc w:val="both"/>
              <w:rPr>
                <w:rFonts w:hint="eastAsia" w:ascii="宋体" w:hAnsi="宋体" w:cs="宋体"/>
                <w:lang w:val="zh-CN"/>
              </w:rPr>
            </w:pPr>
            <w:r>
              <w:rPr>
                <w:rFonts w:hint="eastAsia" w:ascii="宋体" w:hAnsi="宋体" w:cs="宋体"/>
                <w:lang w:val="zh-CN"/>
              </w:rPr>
              <w:t>根据投标人承诺投入本项目的运输车辆、冷冻设备、检测设备数量和体量进行综合比较评分；</w:t>
            </w:r>
          </w:p>
          <w:p>
            <w:pPr>
              <w:adjustRightInd/>
              <w:spacing w:line="276" w:lineRule="auto"/>
              <w:jc w:val="both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优：</w:t>
            </w: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 xml:space="preserve"> &lt; 得分 ≤</w:t>
            </w:r>
            <w:r>
              <w:rPr>
                <w:rFonts w:hint="eastAsia" w:ascii="宋体" w:hAnsi="宋体"/>
                <w:lang w:val="en-US" w:eastAsia="zh-CN"/>
              </w:rPr>
              <w:t>10</w:t>
            </w:r>
            <w:r>
              <w:rPr>
                <w:rFonts w:hint="eastAsia" w:ascii="宋体" w:hAnsi="宋体"/>
              </w:rPr>
              <w:t>，</w:t>
            </w:r>
          </w:p>
          <w:p>
            <w:pPr>
              <w:adjustRightInd/>
              <w:spacing w:line="276" w:lineRule="auto"/>
              <w:jc w:val="both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良：</w:t>
            </w:r>
            <w:r>
              <w:rPr>
                <w:rFonts w:hint="eastAsia" w:ascii="宋体" w:hAnsi="宋体"/>
                <w:lang w:val="en-US" w:eastAsia="zh-CN"/>
              </w:rPr>
              <w:t>6</w:t>
            </w:r>
            <w:r>
              <w:rPr>
                <w:rFonts w:hint="eastAsia" w:ascii="宋体" w:hAnsi="宋体"/>
              </w:rPr>
              <w:t>&lt; 得分 ≤</w:t>
            </w: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，</w:t>
            </w:r>
          </w:p>
          <w:p>
            <w:pPr>
              <w:adjustRightInd/>
              <w:spacing w:line="276" w:lineRule="auto"/>
              <w:jc w:val="both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一般：</w:t>
            </w: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eastAsia" w:ascii="宋体" w:hAnsi="宋体"/>
              </w:rPr>
              <w:t>&lt; 得分 ≤</w:t>
            </w:r>
            <w:r>
              <w:rPr>
                <w:rFonts w:hint="eastAsia" w:ascii="宋体" w:hAnsi="宋体"/>
                <w:lang w:val="en-US" w:eastAsia="zh-CN"/>
              </w:rPr>
              <w:t>6</w:t>
            </w:r>
            <w:r>
              <w:rPr>
                <w:rFonts w:hint="eastAsia" w:ascii="宋体" w:hAnsi="宋体"/>
              </w:rPr>
              <w:t>，</w:t>
            </w:r>
          </w:p>
          <w:p>
            <w:pPr>
              <w:pStyle w:val="2"/>
              <w:rPr>
                <w:rFonts w:hint="eastAsia" w:ascii="宋体" w:hAnsi="Courier New"/>
                <w:kern w:val="0"/>
                <w:sz w:val="20"/>
                <w:szCs w:val="20"/>
                <w:lang w:val="zh-CN" w:eastAsia="zh-CN" w:bidi="ar-SA"/>
              </w:rPr>
            </w:pPr>
            <w:r>
              <w:rPr>
                <w:rFonts w:hint="eastAsia" w:hAnsi="宋体"/>
                <w:sz w:val="21"/>
                <w:szCs w:val="21"/>
              </w:rPr>
              <w:t>未提交：0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620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合计</w:t>
            </w:r>
          </w:p>
        </w:tc>
        <w:tc>
          <w:tcPr>
            <w:tcW w:w="2551" w:type="dxa"/>
            <w:noWrap w:val="0"/>
            <w:vAlign w:val="center"/>
          </w:tcPr>
          <w:p>
            <w:pPr>
              <w:adjustRightInd/>
              <w:spacing w:line="276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100</w:t>
            </w:r>
          </w:p>
        </w:tc>
        <w:tc>
          <w:tcPr>
            <w:tcW w:w="5389" w:type="dxa"/>
            <w:noWrap w:val="0"/>
            <w:vAlign w:val="center"/>
          </w:tcPr>
          <w:p>
            <w:pPr>
              <w:adjustRightInd/>
              <w:spacing w:line="276" w:lineRule="auto"/>
              <w:jc w:val="both"/>
              <w:rPr>
                <w:rFonts w:ascii="宋体" w:hAnsi="宋体" w:cs="宋体"/>
                <w:lang w:val="zh-CN"/>
              </w:rPr>
            </w:pPr>
          </w:p>
        </w:tc>
      </w:tr>
    </w:tbl>
    <w:p>
      <w:pPr>
        <w:spacing w:line="340" w:lineRule="atLeast"/>
        <w:rPr>
          <w:rFonts w:hint="eastAsia" w:ascii="宋体" w:hAnsi="宋体" w:cs="宋体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revisionView w:markup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2ZlMDU3Y2VhZjlhNjJkMDE0MGE2NGJiNDczNTA5MWMifQ=="/>
    <w:docVar w:name="KGWebUrl" w:val="http://19.121.241.45/seeyon/officeservlet"/>
  </w:docVars>
  <w:rsids>
    <w:rsidRoot w:val="5FDA3E7F"/>
    <w:rsid w:val="0009653E"/>
    <w:rsid w:val="000F6568"/>
    <w:rsid w:val="001203DD"/>
    <w:rsid w:val="0015444C"/>
    <w:rsid w:val="00171D34"/>
    <w:rsid w:val="001A4FDD"/>
    <w:rsid w:val="001D0A6F"/>
    <w:rsid w:val="001D1D4C"/>
    <w:rsid w:val="002440D4"/>
    <w:rsid w:val="002D5197"/>
    <w:rsid w:val="0031139D"/>
    <w:rsid w:val="003128D6"/>
    <w:rsid w:val="003305A6"/>
    <w:rsid w:val="00340936"/>
    <w:rsid w:val="00367E9D"/>
    <w:rsid w:val="00375618"/>
    <w:rsid w:val="004362A3"/>
    <w:rsid w:val="004B0DF1"/>
    <w:rsid w:val="004F1366"/>
    <w:rsid w:val="004F60CF"/>
    <w:rsid w:val="00514ABA"/>
    <w:rsid w:val="005272B6"/>
    <w:rsid w:val="00532A2D"/>
    <w:rsid w:val="00604D0E"/>
    <w:rsid w:val="00626FA1"/>
    <w:rsid w:val="006D6B97"/>
    <w:rsid w:val="006E7315"/>
    <w:rsid w:val="006F6D61"/>
    <w:rsid w:val="007D6EE2"/>
    <w:rsid w:val="007F5017"/>
    <w:rsid w:val="00882A81"/>
    <w:rsid w:val="008B5178"/>
    <w:rsid w:val="008F6626"/>
    <w:rsid w:val="00970F05"/>
    <w:rsid w:val="00A26C31"/>
    <w:rsid w:val="00A359D3"/>
    <w:rsid w:val="00A918FB"/>
    <w:rsid w:val="00B4439D"/>
    <w:rsid w:val="00B52BF1"/>
    <w:rsid w:val="00C20E22"/>
    <w:rsid w:val="00C25867"/>
    <w:rsid w:val="00CC6EBF"/>
    <w:rsid w:val="00D42ABC"/>
    <w:rsid w:val="00D94F86"/>
    <w:rsid w:val="00DA7D8F"/>
    <w:rsid w:val="00DD2B4D"/>
    <w:rsid w:val="00DD5414"/>
    <w:rsid w:val="00E52328"/>
    <w:rsid w:val="00E600FE"/>
    <w:rsid w:val="00EA1092"/>
    <w:rsid w:val="00EA1FC0"/>
    <w:rsid w:val="00EB2796"/>
    <w:rsid w:val="00EF0ED9"/>
    <w:rsid w:val="00F100E0"/>
    <w:rsid w:val="00F72AD7"/>
    <w:rsid w:val="053E25DD"/>
    <w:rsid w:val="07F31225"/>
    <w:rsid w:val="084D1FF9"/>
    <w:rsid w:val="099F7B11"/>
    <w:rsid w:val="0E823830"/>
    <w:rsid w:val="0F7C39B0"/>
    <w:rsid w:val="10E549A1"/>
    <w:rsid w:val="14DC4224"/>
    <w:rsid w:val="1F4C5CAB"/>
    <w:rsid w:val="252561EE"/>
    <w:rsid w:val="255B30EF"/>
    <w:rsid w:val="270237C3"/>
    <w:rsid w:val="281D3002"/>
    <w:rsid w:val="2B8A3E01"/>
    <w:rsid w:val="2F1422BD"/>
    <w:rsid w:val="2FAC7A81"/>
    <w:rsid w:val="32D56BB5"/>
    <w:rsid w:val="37896B48"/>
    <w:rsid w:val="38647A3B"/>
    <w:rsid w:val="3884708A"/>
    <w:rsid w:val="3CFB6F84"/>
    <w:rsid w:val="425139E4"/>
    <w:rsid w:val="4F0726EB"/>
    <w:rsid w:val="5211523C"/>
    <w:rsid w:val="58D304A6"/>
    <w:rsid w:val="590B454D"/>
    <w:rsid w:val="59BA4C4C"/>
    <w:rsid w:val="5A7B1263"/>
    <w:rsid w:val="5C9D4E93"/>
    <w:rsid w:val="5DC39C8F"/>
    <w:rsid w:val="5DCF2295"/>
    <w:rsid w:val="5FDA3E7F"/>
    <w:rsid w:val="65EE1816"/>
    <w:rsid w:val="724E3EEE"/>
    <w:rsid w:val="76FC2CDD"/>
    <w:rsid w:val="7762625C"/>
    <w:rsid w:val="7A941B60"/>
    <w:rsid w:val="7F372EF2"/>
    <w:rsid w:val="CFB84379"/>
    <w:rsid w:val="F39FBF86"/>
    <w:rsid w:val="FE7FF8E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paragraph" w:styleId="3">
    <w:name w:val="annotation text"/>
    <w:basedOn w:val="1"/>
    <w:link w:val="12"/>
    <w:qFormat/>
    <w:uiPriority w:val="0"/>
  </w:style>
  <w:style w:type="paragraph" w:styleId="4">
    <w:name w:val="Balloon Text"/>
    <w:basedOn w:val="1"/>
    <w:link w:val="13"/>
    <w:qFormat/>
    <w:uiPriority w:val="0"/>
    <w:pPr>
      <w:spacing w:line="240" w:lineRule="auto"/>
    </w:pPr>
    <w:rPr>
      <w:sz w:val="18"/>
      <w:szCs w:val="18"/>
    </w:rPr>
  </w:style>
  <w:style w:type="paragraph" w:styleId="5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6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7">
    <w:name w:val="annotation subject"/>
    <w:basedOn w:val="3"/>
    <w:next w:val="3"/>
    <w:link w:val="16"/>
    <w:qFormat/>
    <w:uiPriority w:val="0"/>
    <w:rPr>
      <w:b/>
      <w:bCs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annotation reference"/>
    <w:qFormat/>
    <w:uiPriority w:val="0"/>
    <w:rPr>
      <w:sz w:val="21"/>
      <w:szCs w:val="21"/>
    </w:rPr>
  </w:style>
  <w:style w:type="character" w:customStyle="1" w:styleId="12">
    <w:name w:val="批注文字 Char"/>
    <w:link w:val="3"/>
    <w:qFormat/>
    <w:uiPriority w:val="0"/>
    <w:rPr>
      <w:kern w:val="2"/>
      <w:sz w:val="21"/>
      <w:szCs w:val="21"/>
    </w:rPr>
  </w:style>
  <w:style w:type="character" w:customStyle="1" w:styleId="13">
    <w:name w:val="批注框文本 Char"/>
    <w:link w:val="4"/>
    <w:qFormat/>
    <w:uiPriority w:val="0"/>
    <w:rPr>
      <w:kern w:val="2"/>
      <w:sz w:val="18"/>
      <w:szCs w:val="18"/>
    </w:rPr>
  </w:style>
  <w:style w:type="character" w:customStyle="1" w:styleId="14">
    <w:name w:val="页脚 Char"/>
    <w:link w:val="5"/>
    <w:qFormat/>
    <w:uiPriority w:val="0"/>
    <w:rPr>
      <w:kern w:val="2"/>
      <w:sz w:val="18"/>
      <w:szCs w:val="18"/>
    </w:rPr>
  </w:style>
  <w:style w:type="character" w:customStyle="1" w:styleId="15">
    <w:name w:val="页眉 Char"/>
    <w:link w:val="6"/>
    <w:qFormat/>
    <w:uiPriority w:val="0"/>
    <w:rPr>
      <w:kern w:val="2"/>
      <w:sz w:val="18"/>
      <w:szCs w:val="18"/>
    </w:rPr>
  </w:style>
  <w:style w:type="character" w:customStyle="1" w:styleId="16">
    <w:name w:val="批注主题 Char"/>
    <w:link w:val="7"/>
    <w:qFormat/>
    <w:uiPriority w:val="0"/>
    <w:rPr>
      <w:b/>
      <w:bCs/>
      <w:kern w:val="2"/>
      <w:sz w:val="21"/>
      <w:szCs w:val="21"/>
    </w:rPr>
  </w:style>
  <w:style w:type="character" w:customStyle="1" w:styleId="17">
    <w:name w:val="正文文本 (2) + 间距 0 pt3"/>
    <w:qFormat/>
    <w:uiPriority w:val="99"/>
    <w:rPr>
      <w:rFonts w:ascii="MingLiU" w:eastAsia="MingLiU" w:cs="MingLiU"/>
      <w:spacing w:val="0"/>
      <w:sz w:val="22"/>
      <w:szCs w:val="22"/>
      <w:u w:val="none"/>
    </w:rPr>
  </w:style>
  <w:style w:type="character" w:customStyle="1" w:styleId="18">
    <w:name w:val="fontstyle01"/>
    <w:qFormat/>
    <w:uiPriority w:val="0"/>
    <w:rPr>
      <w:rFonts w:hint="eastAsia" w:ascii="宋体" w:hAnsi="宋体" w:eastAsia="宋体"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江门市公路局</Company>
  <Pages>3</Pages>
  <Words>912</Words>
  <Characters>949</Characters>
  <Lines>7</Lines>
  <Paragraphs>2</Paragraphs>
  <TotalTime>64</TotalTime>
  <ScaleCrop>false</ScaleCrop>
  <LinksUpToDate>false</LinksUpToDate>
  <CharactersWithSpaces>973</CharactersWithSpaces>
  <Application>WPS Office_12.8.2.15290_F1E327BC-269C-435d-A152-05C5408002CA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2023-05-08T02:49:00Z</dcterms:created>
  <dc:creator>区展锴</dc:creator>
  <cp:lastModifiedBy>uos</cp:lastModifiedBy>
  <cp:lastPrinted>2022-07-24T03:46:00Z</cp:lastPrinted>
  <dcterms:modified xsi:type="dcterms:W3CDTF">2026-05-25T17:20:40Z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2052-12.8.2.15290</vt:lpwstr>
  </property>
  <property fmtid="{D5CDD505-2E9C-101B-9397-08002B2CF9AE}" pid="3" name="ICV">
    <vt:lpwstr>792B78D86673FA5CD7CD1168E79E9A73_43</vt:lpwstr>
  </property>
  <property fmtid="{D5CDD505-2E9C-101B-9397-08002B2CF9AE}" pid="4" name="KSOTemplateDocerSaveRecord">
    <vt:lpwstr>eyJoZGlkIjoiODlhZWM5NmJjZWVhMmNhMmQwMDE3YTBiNDA4YTRjNjAiLCJ1c2VySWQiOiIxMzM1NDU0ODM3In0=</vt:lpwstr>
  </property>
</Properties>
</file>