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4B7777">
      <w:pPr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 w14:paraId="024ECF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36"/>
          <w:szCs w:val="36"/>
          <w:highlight w:val="none"/>
        </w:rPr>
      </w:pPr>
      <w:r>
        <w:rPr>
          <w:rFonts w:hint="default" w:ascii="Times New Roman" w:hAnsi="Times New Roman" w:eastAsia="方正小标宋_GBK" w:cs="Times New Roman"/>
          <w:sz w:val="36"/>
          <w:szCs w:val="36"/>
          <w:highlight w:val="none"/>
          <w:lang w:eastAsia="zh-CN"/>
        </w:rPr>
        <w:t>江门市生态环境执法能力提升支撑项目（服务类）</w:t>
      </w:r>
      <w:r>
        <w:rPr>
          <w:rFonts w:hint="default" w:ascii="Times New Roman" w:hAnsi="Times New Roman" w:eastAsia="方正小标宋_GBK" w:cs="Times New Roman"/>
          <w:sz w:val="36"/>
          <w:szCs w:val="36"/>
          <w:highlight w:val="none"/>
        </w:rPr>
        <w:t>招标</w:t>
      </w:r>
      <w:bookmarkStart w:id="0" w:name="_GoBack"/>
      <w:r>
        <w:rPr>
          <w:rFonts w:hint="default" w:ascii="Times New Roman" w:hAnsi="Times New Roman" w:eastAsia="方正小标宋_GBK" w:cs="Times New Roman"/>
          <w:sz w:val="36"/>
          <w:szCs w:val="36"/>
          <w:highlight w:val="none"/>
        </w:rPr>
        <w:t>评分表</w:t>
      </w:r>
      <w:bookmarkEnd w:id="0"/>
    </w:p>
    <w:p w14:paraId="6C1CDA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36"/>
          <w:szCs w:val="36"/>
          <w:highlight w:val="none"/>
        </w:rPr>
      </w:pPr>
    </w:p>
    <w:tbl>
      <w:tblPr>
        <w:tblStyle w:val="3"/>
        <w:tblW w:w="1210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754"/>
        <w:gridCol w:w="8726"/>
        <w:gridCol w:w="751"/>
        <w:gridCol w:w="969"/>
      </w:tblGrid>
      <w:tr w14:paraId="092E71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E35154">
            <w:pPr>
              <w:autoSpaceDE w:val="0"/>
              <w:autoSpaceDN w:val="0"/>
              <w:adjustRightInd w:val="0"/>
              <w:snapToGrid w:val="0"/>
              <w:spacing w:line="300" w:lineRule="exact"/>
              <w:ind w:left="-111" w:leftChars="-37" w:right="-105" w:rightChars="-35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序号</w:t>
            </w:r>
          </w:p>
        </w:tc>
        <w:tc>
          <w:tcPr>
            <w:tcW w:w="75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5E036B">
            <w:pPr>
              <w:autoSpaceDE w:val="0"/>
              <w:autoSpaceDN w:val="0"/>
              <w:adjustRightInd w:val="0"/>
              <w:snapToGrid w:val="0"/>
              <w:spacing w:line="300" w:lineRule="exact"/>
              <w:ind w:left="-111" w:leftChars="-37" w:right="-105" w:rightChars="-35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评审</w:t>
            </w:r>
          </w:p>
          <w:p w14:paraId="5AA45CAA">
            <w:pPr>
              <w:autoSpaceDE w:val="0"/>
              <w:autoSpaceDN w:val="0"/>
              <w:adjustRightInd w:val="0"/>
              <w:snapToGrid w:val="0"/>
              <w:spacing w:line="300" w:lineRule="exact"/>
              <w:ind w:left="-111" w:leftChars="-37" w:right="-105" w:rightChars="-35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因素</w:t>
            </w:r>
          </w:p>
        </w:tc>
        <w:tc>
          <w:tcPr>
            <w:tcW w:w="872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168CC8">
            <w:pPr>
              <w:autoSpaceDE w:val="0"/>
              <w:autoSpaceDN w:val="0"/>
              <w:adjustRightInd w:val="0"/>
              <w:snapToGrid w:val="0"/>
              <w:spacing w:line="300" w:lineRule="exact"/>
              <w:ind w:left="-111" w:leftChars="-37" w:right="-105" w:rightChars="-35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评分细则</w:t>
            </w:r>
          </w:p>
        </w:tc>
        <w:tc>
          <w:tcPr>
            <w:tcW w:w="7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B4F1ED">
            <w:pPr>
              <w:autoSpaceDE w:val="0"/>
              <w:autoSpaceDN w:val="0"/>
              <w:adjustRightInd w:val="0"/>
              <w:snapToGrid w:val="0"/>
              <w:spacing w:line="300" w:lineRule="exact"/>
              <w:ind w:left="-111" w:leftChars="-37" w:right="-105" w:rightChars="-35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分值（分）</w:t>
            </w:r>
          </w:p>
        </w:tc>
        <w:tc>
          <w:tcPr>
            <w:tcW w:w="96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3693D2">
            <w:pPr>
              <w:autoSpaceDE w:val="0"/>
              <w:autoSpaceDN w:val="0"/>
              <w:adjustRightInd w:val="0"/>
              <w:snapToGrid w:val="0"/>
              <w:spacing w:line="300" w:lineRule="exact"/>
              <w:ind w:left="-111" w:leftChars="-37" w:right="-105" w:rightChars="-35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eastAsia="zh-CN"/>
              </w:rPr>
              <w:t>得分</w:t>
            </w:r>
          </w:p>
        </w:tc>
      </w:tr>
      <w:tr w14:paraId="330899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10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E11E42">
            <w:pPr>
              <w:autoSpaceDE w:val="0"/>
              <w:autoSpaceDN w:val="0"/>
              <w:adjustRightInd w:val="0"/>
              <w:snapToGrid w:val="0"/>
              <w:spacing w:line="300" w:lineRule="exact"/>
              <w:ind w:left="-111" w:leftChars="-37" w:right="-105" w:rightChars="-35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一、技术部分（</w:t>
            </w: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分）</w:t>
            </w:r>
          </w:p>
        </w:tc>
      </w:tr>
      <w:tr w14:paraId="2530F3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3" w:hRule="atLeast"/>
          <w:jc w:val="center"/>
        </w:trPr>
        <w:tc>
          <w:tcPr>
            <w:tcW w:w="90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6451CC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2"/>
                <w:szCs w:val="22"/>
              </w:rPr>
              <w:t>（一）</w:t>
            </w:r>
          </w:p>
        </w:tc>
        <w:tc>
          <w:tcPr>
            <w:tcW w:w="7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E0B963">
            <w:pPr>
              <w:adjustRightInd w:val="0"/>
              <w:snapToGrid w:val="0"/>
              <w:spacing w:beforeLines="0" w:afterLines="0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"/>
              </w:rPr>
              <w:t>实施方案</w:t>
            </w:r>
          </w:p>
        </w:tc>
        <w:tc>
          <w:tcPr>
            <w:tcW w:w="87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67009E">
            <w:pPr>
              <w:adjustRightInd w:val="0"/>
              <w:snapToGrid w:val="0"/>
              <w:spacing w:beforeLines="0" w:afterLine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</w:rPr>
              <w:t>根据供应商针对本项目提供的实施方案（含执法大练兵实战比武、非现场监管能力建设、排污许可清单式执法技术能力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eastAsia="zh-CN"/>
              </w:rPr>
              <w:t>提升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</w:rPr>
              <w:t>等）进行评审：</w:t>
            </w:r>
          </w:p>
          <w:p w14:paraId="2CC3768F">
            <w:pPr>
              <w:adjustRightInd w:val="0"/>
              <w:snapToGrid w:val="0"/>
              <w:spacing w:beforeLines="0" w:afterLine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</w:rPr>
              <w:t>1. 方案完整详细、科学合理、可行性强，针对性突出，能充分理解项目难点重点并提出有效对策，完全响应采购需求，得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</w:rPr>
              <w:t xml:space="preserve"> 分；</w:t>
            </w:r>
          </w:p>
          <w:p w14:paraId="784E63E8">
            <w:pPr>
              <w:adjustRightInd w:val="0"/>
              <w:snapToGrid w:val="0"/>
              <w:spacing w:beforeLines="0" w:afterLine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</w:rPr>
              <w:t xml:space="preserve">2. 方案详细合理、具有一定可行性，大部分响应采购需求，能基本理解项目难点重点并提出较专业对策，得 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</w:rPr>
              <w:t xml:space="preserve"> 分；</w:t>
            </w:r>
          </w:p>
          <w:p w14:paraId="5C733C68">
            <w:pPr>
              <w:adjustRightInd w:val="0"/>
              <w:snapToGrid w:val="0"/>
              <w:spacing w:beforeLines="0" w:afterLine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</w:rPr>
              <w:t xml:space="preserve">3. 方案完整但可行性不足，部分响应采购需求，对难点重点理解分析简单，对策专业性和可行性一般，得 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</w:rPr>
              <w:t xml:space="preserve"> 分；</w:t>
            </w:r>
          </w:p>
          <w:p w14:paraId="25EC4A25">
            <w:pPr>
              <w:adjustRightInd w:val="0"/>
              <w:snapToGrid w:val="0"/>
              <w:spacing w:beforeLines="0" w:afterLine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</w:rPr>
              <w:t>4. 方案不详细，未能满足采购核心需求，对难点重点理解不符合实际，对策可行性较差，得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</w:rPr>
              <w:t>分；</w:t>
            </w:r>
          </w:p>
          <w:p w14:paraId="2A112636">
            <w:pPr>
              <w:adjustRightInd w:val="0"/>
              <w:snapToGrid w:val="0"/>
              <w:spacing w:beforeLines="0" w:afterLines="0"/>
              <w:jc w:val="left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</w:rPr>
              <w:t>5. 未提交响应内容或其他情况，不得分。</w:t>
            </w:r>
          </w:p>
        </w:tc>
        <w:tc>
          <w:tcPr>
            <w:tcW w:w="7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4B72C2">
            <w:pPr>
              <w:adjustRightInd w:val="0"/>
              <w:snapToGrid w:val="0"/>
              <w:spacing w:beforeLines="0" w:afterLine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2"/>
                <w:szCs w:val="22"/>
                <w:lang w:val="en-US" w:eastAsia="zh-CN"/>
              </w:rPr>
              <w:t>20</w:t>
            </w:r>
          </w:p>
        </w:tc>
        <w:tc>
          <w:tcPr>
            <w:tcW w:w="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6CB23BB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4A488B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1" w:hRule="atLeast"/>
          <w:jc w:val="center"/>
        </w:trPr>
        <w:tc>
          <w:tcPr>
            <w:tcW w:w="90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496B2B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2"/>
                <w:szCs w:val="22"/>
              </w:rPr>
              <w:t>（二）</w:t>
            </w:r>
          </w:p>
        </w:tc>
        <w:tc>
          <w:tcPr>
            <w:tcW w:w="7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5B7BAB9">
            <w:pPr>
              <w:adjustRightInd w:val="0"/>
              <w:snapToGrid w:val="0"/>
              <w:spacing w:beforeLines="0" w:afterLines="0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"/>
              </w:rPr>
              <w:t>质量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</w:rPr>
              <w:t>保障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"/>
              </w:rPr>
              <w:t>措施</w:t>
            </w:r>
          </w:p>
        </w:tc>
        <w:tc>
          <w:tcPr>
            <w:tcW w:w="87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5CEDEC">
            <w:pPr>
              <w:snapToGrid w:val="0"/>
              <w:spacing w:beforeLines="0" w:afterLine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>根据供应商提供的质量保障措施（含技术质量控制、进度管控、人员保障、成果验收等）进行评审：</w:t>
            </w:r>
          </w:p>
          <w:p w14:paraId="42DB3AD1">
            <w:pPr>
              <w:snapToGrid w:val="0"/>
              <w:spacing w:beforeLines="0" w:afterLine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 xml:space="preserve">1. 措施详细合理、针对性强、可操作性强，得 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 xml:space="preserve"> 分；</w:t>
            </w:r>
          </w:p>
          <w:p w14:paraId="202FAA19">
            <w:pPr>
              <w:snapToGrid w:val="0"/>
              <w:spacing w:beforeLines="0" w:afterLine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>2. 措施基本完善，可操作性有所欠缺，得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 xml:space="preserve"> 分；</w:t>
            </w:r>
          </w:p>
          <w:p w14:paraId="7A159E60">
            <w:pPr>
              <w:snapToGrid w:val="0"/>
              <w:spacing w:beforeLines="0" w:afterLine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 xml:space="preserve">3. 措施较完善，缺乏可操作性，得 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 xml:space="preserve"> 分；</w:t>
            </w:r>
          </w:p>
          <w:p w14:paraId="1CB7E352">
            <w:pPr>
              <w:snapToGrid w:val="0"/>
              <w:spacing w:beforeLines="0" w:afterLine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 xml:space="preserve">4. 措施不完善且无操作性，得 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 xml:space="preserve"> 分；</w:t>
            </w:r>
          </w:p>
          <w:p w14:paraId="786DB908">
            <w:pPr>
              <w:snapToGrid w:val="0"/>
              <w:spacing w:beforeLines="0" w:afterLines="0"/>
              <w:jc w:val="left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>5. 未提供或可行性极差，不得分。</w:t>
            </w:r>
          </w:p>
        </w:tc>
        <w:tc>
          <w:tcPr>
            <w:tcW w:w="7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6BC971">
            <w:pPr>
              <w:adjustRightInd w:val="0"/>
              <w:snapToGrid w:val="0"/>
              <w:spacing w:beforeLines="0" w:afterLine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15</w:t>
            </w:r>
          </w:p>
        </w:tc>
        <w:tc>
          <w:tcPr>
            <w:tcW w:w="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CBFC976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 w14:paraId="10DC85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2105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47D54E">
            <w:pPr>
              <w:autoSpaceDE w:val="0"/>
              <w:autoSpaceDN w:val="0"/>
              <w:adjustRightInd w:val="0"/>
              <w:snapToGrid w:val="0"/>
              <w:spacing w:line="300" w:lineRule="exact"/>
              <w:ind w:left="-111" w:leftChars="-37" w:right="-105" w:rightChars="-35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二、商务部分（</w:t>
            </w: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  <w:t>50</w:t>
            </w: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分）</w:t>
            </w:r>
          </w:p>
        </w:tc>
      </w:tr>
      <w:tr w14:paraId="67BAF5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90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111F5F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2"/>
                <w:szCs w:val="22"/>
              </w:rPr>
              <w:t>（三）</w:t>
            </w:r>
          </w:p>
        </w:tc>
        <w:tc>
          <w:tcPr>
            <w:tcW w:w="7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3D85AF">
            <w:pPr>
              <w:adjustRightInd w:val="0"/>
              <w:snapToGrid w:val="0"/>
              <w:spacing w:beforeLines="0" w:afterLine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</w:rPr>
              <w:t>项目业绩</w:t>
            </w:r>
          </w:p>
        </w:tc>
        <w:tc>
          <w:tcPr>
            <w:tcW w:w="87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E09670">
            <w:pPr>
              <w:adjustRightInd w:val="0"/>
              <w:snapToGrid w:val="0"/>
              <w:spacing w:beforeLines="0" w:afterLines="0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"/>
              </w:rPr>
              <w:t>供应商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2021年至今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"/>
              </w:rPr>
              <w:t>（以合同签订日期为准）承担过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" w:eastAsia="zh-CN"/>
              </w:rPr>
              <w:t>生态环境执法服务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"/>
              </w:rPr>
              <w:t>、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" w:eastAsia="zh-CN"/>
              </w:rPr>
              <w:t>技术帮扶服务等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"/>
              </w:rPr>
              <w:t>采购相关项目的，每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" w:eastAsia="zh-CN"/>
              </w:rPr>
              <w:t>项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"/>
              </w:rPr>
              <w:t xml:space="preserve">得 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"/>
              </w:rPr>
              <w:t xml:space="preserve"> 分，最高得 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"/>
              </w:rPr>
              <w:t>分；</w:t>
            </w:r>
          </w:p>
          <w:p w14:paraId="2A3315F9">
            <w:pPr>
              <w:adjustRightInd w:val="0"/>
              <w:snapToGrid w:val="0"/>
              <w:spacing w:beforeLines="0" w:afterLines="0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"/>
              </w:rPr>
              <w:t xml:space="preserve">上述合计最高得 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"/>
              </w:rPr>
              <w:t>0 分，同一份合同涉及多项业绩的只计分一次，不重复计分。须提供项目合同关键页复印件或成果证明材料并加盖公章，提供不全不得分。</w:t>
            </w:r>
          </w:p>
        </w:tc>
        <w:tc>
          <w:tcPr>
            <w:tcW w:w="7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10D70D">
            <w:pPr>
              <w:adjustRightInd w:val="0"/>
              <w:snapToGrid w:val="0"/>
              <w:spacing w:beforeLines="0" w:afterLine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20</w:t>
            </w:r>
          </w:p>
        </w:tc>
        <w:tc>
          <w:tcPr>
            <w:tcW w:w="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2BAAE8F">
            <w:pPr>
              <w:autoSpaceDE w:val="0"/>
              <w:autoSpaceDN w:val="0"/>
              <w:adjustRightInd w:val="0"/>
              <w:snapToGrid w:val="0"/>
              <w:spacing w:line="300" w:lineRule="exact"/>
              <w:ind w:left="-111" w:leftChars="-37" w:right="-105" w:rightChars="-35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48230F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  <w:jc w:val="center"/>
        </w:trPr>
        <w:tc>
          <w:tcPr>
            <w:tcW w:w="90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129BB2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2"/>
                <w:szCs w:val="22"/>
              </w:rPr>
              <w:t>（四）</w:t>
            </w:r>
          </w:p>
        </w:tc>
        <w:tc>
          <w:tcPr>
            <w:tcW w:w="7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90ACB8">
            <w:pPr>
              <w:adjustRightInd w:val="0"/>
              <w:snapToGrid w:val="0"/>
              <w:spacing w:beforeLines="0" w:afterLine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</w:rPr>
              <w:t>项目负责人实力</w:t>
            </w:r>
          </w:p>
        </w:tc>
        <w:tc>
          <w:tcPr>
            <w:tcW w:w="87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0722EB">
            <w:pPr>
              <w:adjustRightInd w:val="0"/>
              <w:snapToGrid w:val="0"/>
              <w:spacing w:beforeLines="0" w:afterLines="0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" w:eastAsia="zh-CN"/>
              </w:rPr>
              <w:t>拟委派的项目负责人（1 人）：</w:t>
            </w:r>
          </w:p>
          <w:p w14:paraId="10D4A90F">
            <w:pPr>
              <w:adjustRightInd w:val="0"/>
              <w:snapToGrid w:val="0"/>
              <w:spacing w:beforeLines="0" w:afterLines="0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" w:eastAsia="zh-CN"/>
              </w:rPr>
              <w:t>1.具有环保或相关专业高级职称（或以上），得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" w:eastAsia="zh-CN"/>
              </w:rPr>
              <w:t>分；</w:t>
            </w:r>
          </w:p>
          <w:p w14:paraId="65B48DA3">
            <w:pPr>
              <w:adjustRightInd w:val="0"/>
              <w:snapToGrid w:val="0"/>
              <w:spacing w:beforeLines="0" w:afterLines="0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" w:eastAsia="zh-CN"/>
              </w:rPr>
              <w:t>2.具有环保或相关专业中级职称，得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" w:eastAsia="zh-CN"/>
              </w:rPr>
              <w:t xml:space="preserve"> 分；</w:t>
            </w:r>
          </w:p>
          <w:p w14:paraId="43D7BD63">
            <w:pPr>
              <w:adjustRightInd w:val="0"/>
              <w:snapToGrid w:val="0"/>
              <w:spacing w:beforeLines="0" w:afterLines="0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" w:eastAsia="zh-CN"/>
              </w:rPr>
              <w:t>需提供职称证书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" w:eastAsia="zh-CN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" w:eastAsia="zh-CN"/>
              </w:rPr>
              <w:t>开标前 6 个月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" w:eastAsia="zh-CN"/>
              </w:rPr>
              <w:t>在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" w:eastAsia="zh-CN"/>
              </w:rPr>
              <w:t>该供应商单位的社保证明复印件并加盖公章。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" w:eastAsia="zh-CN"/>
              </w:rPr>
              <w:t>（如退休返聘人员需提供退休证及返聘合同）</w:t>
            </w:r>
          </w:p>
        </w:tc>
        <w:tc>
          <w:tcPr>
            <w:tcW w:w="7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4830CF">
            <w:pPr>
              <w:adjustRightInd w:val="0"/>
              <w:snapToGrid w:val="0"/>
              <w:spacing w:beforeLines="0" w:afterLine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F868083">
            <w:pPr>
              <w:autoSpaceDE w:val="0"/>
              <w:autoSpaceDN w:val="0"/>
              <w:adjustRightInd w:val="0"/>
              <w:snapToGrid w:val="0"/>
              <w:spacing w:line="300" w:lineRule="exact"/>
              <w:ind w:left="-111" w:leftChars="-37" w:right="-105" w:rightChars="-35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3EE7D2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7" w:hRule="atLeast"/>
          <w:jc w:val="center"/>
        </w:trPr>
        <w:tc>
          <w:tcPr>
            <w:tcW w:w="90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1907A4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2"/>
                <w:szCs w:val="22"/>
              </w:rPr>
              <w:t>（五）</w:t>
            </w:r>
          </w:p>
        </w:tc>
        <w:tc>
          <w:tcPr>
            <w:tcW w:w="7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A09291">
            <w:pPr>
              <w:adjustRightInd w:val="0"/>
              <w:snapToGrid w:val="0"/>
              <w:spacing w:beforeLines="0" w:afterLine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</w:rPr>
              <w:t>团队实力</w:t>
            </w:r>
          </w:p>
        </w:tc>
        <w:tc>
          <w:tcPr>
            <w:tcW w:w="87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2269F3">
            <w:pPr>
              <w:adjustRightInd w:val="0"/>
              <w:snapToGrid w:val="0"/>
              <w:spacing w:beforeLines="0" w:afterLines="0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" w:eastAsia="zh-CN"/>
              </w:rPr>
              <w:t>拟委派的技术人员（不含项目负责人）：</w:t>
            </w:r>
          </w:p>
          <w:p w14:paraId="74C4179E">
            <w:pPr>
              <w:adjustRightInd w:val="0"/>
              <w:snapToGrid w:val="0"/>
              <w:spacing w:beforeLines="0" w:afterLines="0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" w:eastAsia="zh-CN"/>
              </w:rPr>
              <w:t>1. 具有环保或相关专业高级及以上职称的，每人得 5 分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" w:eastAsia="zh-CN"/>
              </w:rPr>
              <w:t>，最高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10分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" w:eastAsia="zh-CN"/>
              </w:rPr>
              <w:t>；</w:t>
            </w:r>
          </w:p>
          <w:p w14:paraId="0171A0F1">
            <w:pPr>
              <w:adjustRightInd w:val="0"/>
              <w:snapToGrid w:val="0"/>
              <w:spacing w:beforeLines="0" w:afterLines="0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" w:eastAsia="zh-CN"/>
              </w:rPr>
              <w:t>2. 具有环保或相关专业中级职称的，每人得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" w:eastAsia="zh-CN"/>
              </w:rPr>
              <w:t xml:space="preserve"> 分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" w:eastAsia="zh-CN"/>
              </w:rPr>
              <w:t>，最高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12分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" w:eastAsia="zh-CN"/>
              </w:rPr>
              <w:t>；</w:t>
            </w:r>
          </w:p>
          <w:p w14:paraId="595C28B7">
            <w:pPr>
              <w:adjustRightInd w:val="0"/>
              <w:snapToGrid w:val="0"/>
              <w:spacing w:beforeLines="0" w:afterLines="0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" w:eastAsia="zh-CN"/>
              </w:rPr>
              <w:t xml:space="preserve">合计最高得 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22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" w:eastAsia="zh-CN"/>
              </w:rPr>
              <w:t xml:space="preserve"> 分，同一人员多职称不重复计分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" w:eastAsia="zh-CN"/>
              </w:rPr>
              <w:t>，高工人数超过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2名则超过部分高工按3分/人计算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" w:eastAsia="zh-CN"/>
              </w:rPr>
              <w:t>。需提供职称证书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" w:eastAsia="zh-CN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" w:eastAsia="zh-CN"/>
              </w:rPr>
              <w:t>开标前 6 个月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" w:eastAsia="zh-CN"/>
              </w:rPr>
              <w:t>在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" w:eastAsia="zh-CN"/>
              </w:rPr>
              <w:t>该供应商单位的社保证明复印件并加盖公章，缺项不得分。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" w:eastAsia="zh-CN"/>
              </w:rPr>
              <w:t>（如退休返聘人员需提供退休证及返聘合同）</w:t>
            </w:r>
          </w:p>
        </w:tc>
        <w:tc>
          <w:tcPr>
            <w:tcW w:w="7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1325F8">
            <w:pPr>
              <w:adjustRightInd w:val="0"/>
              <w:snapToGrid w:val="0"/>
              <w:spacing w:beforeLines="0" w:afterLine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22</w:t>
            </w:r>
          </w:p>
        </w:tc>
        <w:tc>
          <w:tcPr>
            <w:tcW w:w="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FD5A3D6">
            <w:pPr>
              <w:autoSpaceDE w:val="0"/>
              <w:autoSpaceDN w:val="0"/>
              <w:adjustRightInd w:val="0"/>
              <w:snapToGrid w:val="0"/>
              <w:spacing w:line="300" w:lineRule="exact"/>
              <w:ind w:left="-111" w:leftChars="-37" w:right="-105" w:rightChars="-35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6904E7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2105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96B1D5">
            <w:pPr>
              <w:adjustRightInd w:val="0"/>
              <w:snapToGrid w:val="0"/>
              <w:spacing w:beforeLines="0" w:afterLines="0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  <w:t>三、价格部分（15分）</w:t>
            </w:r>
          </w:p>
        </w:tc>
      </w:tr>
      <w:tr w14:paraId="64CA96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4" w:hRule="atLeast"/>
          <w:jc w:val="center"/>
        </w:trPr>
        <w:tc>
          <w:tcPr>
            <w:tcW w:w="90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965C32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（六）</w:t>
            </w:r>
          </w:p>
        </w:tc>
        <w:tc>
          <w:tcPr>
            <w:tcW w:w="7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0F7FAD">
            <w:pPr>
              <w:autoSpaceDE w:val="0"/>
              <w:autoSpaceDN w:val="0"/>
              <w:adjustRightInd w:val="0"/>
              <w:snapToGrid w:val="0"/>
              <w:spacing w:beforeLines="0" w:afterLines="0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</w:rPr>
              <w:t>价格得分</w:t>
            </w:r>
          </w:p>
        </w:tc>
        <w:tc>
          <w:tcPr>
            <w:tcW w:w="87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692653">
            <w:pPr>
              <w:adjustRightInd w:val="0"/>
              <w:snapToGrid w:val="0"/>
              <w:spacing w:beforeLines="0" w:afterLines="0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</w:rPr>
              <w:t>价格分应当采用低价优先法计算，即满足采购需求且报价最低的为基准价，该项价格得分为满分。其他供应商的价格得分统一按照下列公式计算：供应商价格得分=(基准价／报价)×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</w:rPr>
              <w:t>，价格得分四舍五入后保留小数点后两位有效数。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2"/>
              </w:rPr>
              <w:t>（对符合规定的小型和微型企业（监狱企业、残疾人福利单位视同小型、微型企业）报价给予10%的价格扣除。）</w:t>
            </w:r>
          </w:p>
        </w:tc>
        <w:tc>
          <w:tcPr>
            <w:tcW w:w="7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7CC5B3">
            <w:pPr>
              <w:adjustRightInd w:val="0"/>
              <w:snapToGrid w:val="0"/>
              <w:spacing w:beforeLines="0" w:afterLine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79CEA9C">
            <w:pPr>
              <w:autoSpaceDE w:val="0"/>
              <w:autoSpaceDN w:val="0"/>
              <w:adjustRightInd w:val="0"/>
              <w:snapToGrid w:val="0"/>
              <w:spacing w:line="300" w:lineRule="exact"/>
              <w:ind w:left="-111" w:leftChars="-37" w:right="-105" w:rightChars="-35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3BDFC1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038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1BC48648">
            <w:pPr>
              <w:autoSpaceDE w:val="0"/>
              <w:autoSpaceDN w:val="0"/>
              <w:adjustRightInd w:val="0"/>
              <w:snapToGrid w:val="0"/>
              <w:spacing w:line="300" w:lineRule="exact"/>
              <w:ind w:left="-111" w:leftChars="-37" w:right="-105" w:rightChars="-35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1"/>
                <w:szCs w:val="21"/>
              </w:rPr>
              <w:t>合计</w:t>
            </w:r>
          </w:p>
        </w:tc>
        <w:tc>
          <w:tcPr>
            <w:tcW w:w="7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37197F4B">
            <w:pPr>
              <w:autoSpaceDE w:val="0"/>
              <w:autoSpaceDN w:val="0"/>
              <w:adjustRightInd w:val="0"/>
              <w:snapToGrid w:val="0"/>
              <w:spacing w:line="300" w:lineRule="exact"/>
              <w:ind w:left="-111" w:leftChars="-37" w:right="-105" w:rightChars="-35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1"/>
                <w:szCs w:val="21"/>
              </w:rPr>
              <w:t xml:space="preserve">100 </w:t>
            </w:r>
          </w:p>
        </w:tc>
        <w:tc>
          <w:tcPr>
            <w:tcW w:w="96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top"/>
          </w:tcPr>
          <w:p w14:paraId="61B49D68">
            <w:pPr>
              <w:autoSpaceDE w:val="0"/>
              <w:autoSpaceDN w:val="0"/>
              <w:adjustRightInd w:val="0"/>
              <w:snapToGrid w:val="0"/>
              <w:spacing w:line="300" w:lineRule="exact"/>
              <w:ind w:left="-111" w:leftChars="-37" w:right="-105" w:rightChars="-35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1"/>
                <w:szCs w:val="21"/>
              </w:rPr>
            </w:pPr>
          </w:p>
        </w:tc>
      </w:tr>
    </w:tbl>
    <w:p w14:paraId="1AD08B71">
      <w:pPr>
        <w:adjustRightInd w:val="0"/>
        <w:snapToGrid w:val="0"/>
        <w:spacing w:beforeLines="0" w:afterLines="0"/>
        <w:jc w:val="left"/>
        <w:rPr>
          <w:rFonts w:hint="default" w:ascii="Times New Roman" w:hAnsi="Times New Roman" w:eastAsia="仿宋_GB2312" w:cs="Times New Roman"/>
          <w:color w:val="auto"/>
          <w:sz w:val="21"/>
          <w:szCs w:val="21"/>
        </w:rPr>
      </w:pPr>
    </w:p>
    <w:p w14:paraId="14C8A299">
      <w:pPr>
        <w:spacing w:line="400" w:lineRule="exact"/>
        <w:jc w:val="left"/>
        <w:rPr>
          <w:rFonts w:hint="default" w:ascii="Times New Roman" w:hAnsi="Times New Roman" w:eastAsia="仿宋" w:cs="Times New Roman"/>
          <w:b/>
          <w:sz w:val="24"/>
        </w:rPr>
      </w:pPr>
      <w:r>
        <w:rPr>
          <w:rFonts w:hint="default" w:ascii="Times New Roman" w:hAnsi="Times New Roman" w:eastAsia="仿宋" w:cs="Times New Roman"/>
          <w:b/>
          <w:sz w:val="24"/>
        </w:rPr>
        <w:t>注：1、以上提供的响应资料需在中标后提供原件核查，如经核查后存在弄虚作假行为的，将取消服务资格。</w:t>
      </w:r>
    </w:p>
    <w:p w14:paraId="1B8CAF25">
      <w:pPr>
        <w:spacing w:line="400" w:lineRule="exact"/>
        <w:ind w:firstLine="480" w:firstLineChars="200"/>
        <w:jc w:val="left"/>
        <w:rPr>
          <w:rFonts w:hint="default" w:ascii="Times New Roman" w:hAnsi="Times New Roman" w:eastAsia="仿宋" w:cs="Times New Roman"/>
          <w:b/>
          <w:sz w:val="24"/>
        </w:rPr>
      </w:pPr>
      <w:r>
        <w:rPr>
          <w:rFonts w:hint="default" w:ascii="Times New Roman" w:hAnsi="Times New Roman" w:eastAsia="仿宋" w:cs="Times New Roman"/>
          <w:b/>
          <w:sz w:val="24"/>
        </w:rPr>
        <w:t>2、请投标人在投标文件中标注以上评分项目证明资料对应的页码。</w:t>
      </w:r>
    </w:p>
    <w:p w14:paraId="37DB889E">
      <w:pPr>
        <w:pStyle w:val="2"/>
        <w:ind w:left="0" w:leftChars="0" w:firstLine="0" w:firstLineChars="0"/>
        <w:rPr>
          <w:rFonts w:hint="default" w:ascii="Times New Roman" w:hAnsi="Times New Roman" w:eastAsia="仿宋" w:cs="Times New Roman"/>
          <w:sz w:val="32"/>
          <w:szCs w:val="32"/>
          <w:lang w:val="en"/>
        </w:rPr>
        <w:sectPr>
          <w:pgSz w:w="16838" w:h="11906" w:orient="landscape"/>
          <w:pgMar w:top="1474" w:right="1418" w:bottom="1474" w:left="1701" w:header="851" w:footer="992" w:gutter="0"/>
          <w:pgNumType w:fmt="decimal"/>
          <w:cols w:space="720" w:num="1"/>
          <w:rtlGutter w:val="0"/>
          <w:docGrid w:type="linesAndChars" w:linePitch="447" w:charSpace="0"/>
        </w:sectPr>
      </w:pPr>
    </w:p>
    <w:p w14:paraId="3DA30C58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727494"/>
    <w:rsid w:val="0D72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utoSpaceDE w:val="0"/>
      <w:autoSpaceDN w:val="0"/>
      <w:adjustRightInd w:val="0"/>
      <w:spacing w:after="200" w:line="276" w:lineRule="auto"/>
      <w:ind w:firstLine="420"/>
      <w:jc w:val="left"/>
      <w:textAlignment w:val="baseline"/>
    </w:pPr>
    <w:rPr>
      <w:rFonts w:ascii="宋体" w:hAnsi="Times New Roman" w:eastAsia="Calibri"/>
      <w:kern w:val="0"/>
      <w:sz w:val="34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2026-05-20T08:35:00Z</dcterms:created>
  <dc:creator>李耀明</dc:creator>
  <cp:lastModifiedBy>李耀明</cp:lastModifiedBy>
  <dcterms:modified xsi:type="dcterms:W3CDTF">2026-05-20T08:36:07Z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D21D3D23388741669EE3D37620C1200A_11</vt:lpwstr>
  </property>
  <property fmtid="{D5CDD505-2E9C-101B-9397-08002B2CF9AE}" pid="4" name="KSOTemplateDocerSaveRecord">
    <vt:lpwstr>eyJoZGlkIjoiMDM3NGU3YmU1ODYyYjdmN2E3ZWRhMmM0MjY3M2IwZTIiLCJ1c2VySWQiOiIzNDIwMDI0OTEifQ==</vt:lpwstr>
  </property>
</Properties>
</file>