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黑体" w:cs="Times New Roman"/>
          <w:sz w:val="30"/>
          <w:szCs w:val="30"/>
          <w:highlight w:val="none"/>
          <w:lang w:eastAsia="zh-CN"/>
        </w:rPr>
      </w:pPr>
      <w:r>
        <w:rPr>
          <w:rFonts w:hint="default" w:ascii="Times New Roman" w:hAnsi="Times New Roman" w:eastAsia="黑体" w:cs="Times New Roman"/>
          <w:sz w:val="30"/>
          <w:szCs w:val="30"/>
          <w:highlight w:val="none"/>
        </w:rPr>
        <w:t>附件</w:t>
      </w:r>
      <w:r>
        <w:rPr>
          <w:rFonts w:hint="default" w:ascii="Times New Roman" w:hAnsi="Times New Roman" w:eastAsia="黑体" w:cs="Times New Roman"/>
          <w:sz w:val="30"/>
          <w:szCs w:val="30"/>
          <w:highlight w:val="none"/>
          <w:lang w:val="en-US" w:eastAsia="zh-CN"/>
        </w:rPr>
        <w:t>1</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黑体" w:cs="Times New Roman"/>
          <w:sz w:val="30"/>
          <w:szCs w:val="30"/>
          <w:highlight w:val="none"/>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大标宋简体" w:hAnsi="方正大标宋简体" w:eastAsia="方正大标宋简体" w:cs="方正大标宋简体"/>
          <w:b w:val="0"/>
          <w:bCs/>
          <w:sz w:val="44"/>
          <w:szCs w:val="44"/>
          <w:lang w:eastAsia="zh-CN"/>
        </w:rPr>
      </w:pPr>
      <w:r>
        <w:rPr>
          <w:rFonts w:hint="eastAsia" w:ascii="方正大标宋简体" w:hAnsi="方正大标宋简体" w:eastAsia="方正大标宋简体" w:cs="方正大标宋简体"/>
          <w:b w:val="0"/>
          <w:bCs/>
          <w:sz w:val="44"/>
          <w:szCs w:val="44"/>
          <w:lang w:eastAsia="zh-CN"/>
        </w:rPr>
        <w:t>2026年江门市生态环境执法装备</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楷体_GBK" w:cs="Times New Roman"/>
          <w:b/>
          <w:bCs/>
          <w:sz w:val="44"/>
          <w:szCs w:val="44"/>
          <w:highlight w:val="none"/>
          <w:lang w:val="en-US" w:eastAsia="zh-CN"/>
        </w:rPr>
      </w:pPr>
      <w:r>
        <w:rPr>
          <w:rFonts w:hint="eastAsia" w:ascii="方正大标宋简体" w:hAnsi="方正大标宋简体" w:eastAsia="方正大标宋简体" w:cs="方正大标宋简体"/>
          <w:b w:val="0"/>
          <w:bCs/>
          <w:sz w:val="44"/>
          <w:szCs w:val="44"/>
          <w:lang w:eastAsia="zh-CN"/>
        </w:rPr>
        <w:t>购置项目</w:t>
      </w:r>
      <w:r>
        <w:rPr>
          <w:rFonts w:hint="default" w:ascii="方正大标宋简体" w:hAnsi="方正大标宋简体" w:eastAsia="方正大标宋简体" w:cs="方正大标宋简体"/>
          <w:b w:val="0"/>
          <w:bCs/>
          <w:sz w:val="44"/>
          <w:szCs w:val="44"/>
          <w:lang w:val="en-US" w:eastAsia="zh-CN"/>
        </w:rPr>
        <w:t>技术参数</w:t>
      </w:r>
    </w:p>
    <w:p>
      <w:pPr>
        <w:spacing w:line="480" w:lineRule="exact"/>
        <w:jc w:val="center"/>
        <w:rPr>
          <w:rFonts w:hint="default" w:ascii="Times New Roman" w:hAnsi="Times New Roman" w:eastAsia="方正楷体_GBK" w:cs="Times New Roman"/>
          <w:b/>
          <w:bCs/>
          <w:sz w:val="44"/>
          <w:szCs w:val="44"/>
          <w:highlight w:val="none"/>
          <w:lang w:val="en-US" w:eastAsia="zh-CN"/>
        </w:rPr>
      </w:pPr>
    </w:p>
    <w:p>
      <w:pPr>
        <w:spacing w:line="480" w:lineRule="exac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 便携式恶臭检测仪</w:t>
      </w:r>
    </w:p>
    <w:tbl>
      <w:tblPr>
        <w:tblStyle w:val="10"/>
        <w:tblW w:w="8970"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62"/>
        <w:gridCol w:w="71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62" w:type="dxa"/>
            <w:vAlign w:val="center"/>
          </w:tcPr>
          <w:p>
            <w:pPr>
              <w:spacing w:line="480" w:lineRule="exact"/>
              <w:jc w:val="center"/>
              <w:rPr>
                <w:rFonts w:hint="default" w:ascii="Times New Roman" w:hAnsi="Times New Roman" w:cs="Times New Roman"/>
                <w:szCs w:val="21"/>
                <w:highlight w:val="none"/>
                <w:lang w:eastAsia="zh-CN"/>
              </w:rPr>
            </w:pPr>
            <w:r>
              <w:rPr>
                <w:rFonts w:hint="default" w:ascii="Times New Roman" w:hAnsi="Times New Roman" w:cs="Times New Roman"/>
                <w:b w:val="0"/>
                <w:bCs w:val="0"/>
                <w:szCs w:val="21"/>
                <w:highlight w:val="none"/>
              </w:rPr>
              <w:t>项目</w:t>
            </w:r>
          </w:p>
        </w:tc>
        <w:tc>
          <w:tcPr>
            <w:tcW w:w="7108" w:type="dxa"/>
            <w:vAlign w:val="center"/>
          </w:tcPr>
          <w:p>
            <w:pPr>
              <w:spacing w:line="480" w:lineRule="exact"/>
              <w:jc w:val="center"/>
              <w:rPr>
                <w:rFonts w:hint="default" w:ascii="Times New Roman" w:hAnsi="Times New Roman" w:cs="Times New Roman"/>
                <w:szCs w:val="21"/>
                <w:highlight w:val="none"/>
                <w:lang w:val="en-US" w:eastAsia="zh-CN"/>
              </w:rPr>
            </w:pPr>
            <w:r>
              <w:rPr>
                <w:rFonts w:hint="default" w:ascii="Times New Roman" w:hAnsi="Times New Roman" w:cs="Times New Roman"/>
                <w:b w:val="0"/>
                <w:bCs w:val="0"/>
                <w:szCs w:val="21"/>
                <w:highlight w:val="none"/>
              </w:rPr>
              <w:t>技术指标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62" w:type="dxa"/>
            <w:vAlign w:val="center"/>
          </w:tcPr>
          <w:p>
            <w:pPr>
              <w:spacing w:line="480" w:lineRule="exact"/>
              <w:jc w:val="center"/>
              <w:rPr>
                <w:rFonts w:hint="default" w:ascii="Times New Roman" w:hAnsi="Times New Roman" w:cs="Times New Roman"/>
                <w:szCs w:val="21"/>
                <w:highlight w:val="none"/>
                <w:lang w:eastAsia="zh-CN"/>
              </w:rPr>
            </w:pPr>
            <w:r>
              <w:rPr>
                <w:rFonts w:hint="default" w:ascii="Times New Roman" w:hAnsi="Times New Roman" w:cs="Times New Roman"/>
                <w:b w:val="0"/>
                <w:bCs w:val="0"/>
                <w:szCs w:val="21"/>
                <w:highlight w:val="none"/>
                <w:lang w:eastAsia="zh-CN"/>
              </w:rPr>
              <w:t>性能参数</w:t>
            </w:r>
          </w:p>
        </w:tc>
        <w:tc>
          <w:tcPr>
            <w:tcW w:w="7108" w:type="dxa"/>
            <w:vAlign w:val="center"/>
          </w:tcPr>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cs="Times New Roman"/>
                <w:szCs w:val="21"/>
                <w:highlight w:val="none"/>
                <w:lang w:val="en-US" w:eastAsia="zh-CN"/>
              </w:rPr>
              <w:t>1.</w:t>
            </w:r>
            <w:r>
              <w:rPr>
                <w:rFonts w:hint="default" w:ascii="Times New Roman" w:hAnsi="Times New Roman" w:cs="Times New Roman"/>
                <w:szCs w:val="21"/>
                <w:highlight w:val="none"/>
                <w:lang w:val="en-US" w:eastAsia="zh-CN"/>
              </w:rPr>
              <w:t>可同时检测氨气、三甲胺、硫化氢、甲硫醇、甲硫醚、二甲二硫、二硫化碳、苯乙烯等气体，可自动计算臭气OU值;</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2.</w:t>
            </w:r>
            <w:r>
              <w:rPr>
                <w:rFonts w:hint="default" w:ascii="Times New Roman" w:hAnsi="Times New Roman" w:cs="Times New Roman"/>
                <w:szCs w:val="21"/>
                <w:highlight w:val="none"/>
                <w:lang w:val="en-US" w:eastAsia="zh-CN"/>
              </w:rPr>
              <w:t>采用不低于5寸高清触摸彩屏，中文操作界面并带有按键快捷操作，方便现场快速操作使用；</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w:t>
            </w:r>
            <w:r>
              <w:rPr>
                <w:rFonts w:hint="default" w:ascii="Times New Roman" w:hAnsi="Times New Roman" w:cs="Times New Roman"/>
                <w:szCs w:val="21"/>
                <w:highlight w:val="none"/>
                <w:lang w:val="en-US" w:eastAsia="zh-CN"/>
              </w:rPr>
              <w:t>内置锂电池无需外部电源即可连续工作8小时以上；</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cs="Times New Roman"/>
                <w:szCs w:val="21"/>
                <w:highlight w:val="none"/>
                <w:lang w:val="en-US" w:eastAsia="zh-CN"/>
              </w:rPr>
              <w:t>4.</w:t>
            </w:r>
            <w:r>
              <w:rPr>
                <w:rFonts w:hint="default" w:ascii="Times New Roman" w:hAnsi="Times New Roman" w:cs="Times New Roman"/>
                <w:szCs w:val="21"/>
                <w:highlight w:val="none"/>
                <w:lang w:val="en-US" w:eastAsia="zh-CN"/>
              </w:rPr>
              <w:t>具有定位功能，可实时定位经纬度信息，可同步时钟；</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w:t>
            </w:r>
            <w:r>
              <w:rPr>
                <w:rFonts w:hint="default" w:ascii="Times New Roman" w:hAnsi="Times New Roman" w:cs="Times New Roman"/>
                <w:szCs w:val="21"/>
                <w:highlight w:val="none"/>
                <w:lang w:val="en-US" w:eastAsia="zh-CN"/>
              </w:rPr>
              <w:t>单位自由切换，单位可选：PPM、mg/m3、Vol%、LEL%、PPHM、ppb；</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6.</w:t>
            </w:r>
            <w:r>
              <w:rPr>
                <w:rFonts w:hint="default" w:ascii="Times New Roman" w:hAnsi="Times New Roman" w:cs="Times New Roman"/>
                <w:szCs w:val="21"/>
                <w:highlight w:val="none"/>
                <w:lang w:val="en-US" w:eastAsia="zh-CN"/>
              </w:rPr>
              <w:t>量程及分辨率：</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w:t>
            </w:r>
            <w:r>
              <w:rPr>
                <w:rFonts w:hint="default" w:ascii="Times New Roman" w:hAnsi="Times New Roman" w:cs="Times New Roman"/>
                <w:szCs w:val="21"/>
                <w:highlight w:val="none"/>
                <w:lang w:val="en-US" w:eastAsia="zh-CN"/>
              </w:rPr>
              <w:t>臭气浓度（OU）：量程（0-1000），分辨率1（无量纲）；</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（2）</w:t>
            </w:r>
            <w:r>
              <w:rPr>
                <w:rFonts w:hint="default" w:ascii="Times New Roman" w:hAnsi="Times New Roman" w:cs="Times New Roman"/>
                <w:szCs w:val="21"/>
                <w:highlight w:val="none"/>
                <w:lang w:val="en-US" w:eastAsia="zh-CN"/>
              </w:rPr>
              <w:t>氨气：量程0-10ppm，分辨率0.01ppm；</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w:t>
            </w:r>
            <w:r>
              <w:rPr>
                <w:rFonts w:hint="default" w:ascii="Times New Roman" w:hAnsi="Times New Roman" w:cs="Times New Roman"/>
                <w:szCs w:val="21"/>
                <w:highlight w:val="none"/>
                <w:lang w:val="en-US" w:eastAsia="zh-CN"/>
              </w:rPr>
              <w:t>硫化氢：量程0-10ppm，分辨率0.01ppm；</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w:t>
            </w:r>
            <w:r>
              <w:rPr>
                <w:rFonts w:hint="default" w:ascii="Times New Roman" w:hAnsi="Times New Roman" w:cs="Times New Roman"/>
                <w:szCs w:val="21"/>
                <w:highlight w:val="none"/>
                <w:lang w:val="en-US" w:eastAsia="zh-CN"/>
              </w:rPr>
              <w:t>甲硫醇：量程0-10ppm，分辨率0.01ppm；</w:t>
            </w:r>
          </w:p>
          <w:p>
            <w:pPr>
              <w:numPr>
                <w:ilvl w:val="0"/>
                <w:numId w:val="0"/>
              </w:numPr>
              <w:spacing w:line="480" w:lineRule="exact"/>
              <w:ind w:leftChars="0"/>
              <w:rPr>
                <w:rFonts w:hint="eastAsia" w:ascii="Times New Roman" w:hAnsi="Times New Roman" w:eastAsia="宋体" w:cs="Times New Roman"/>
                <w:color w:val="auto"/>
                <w:szCs w:val="21"/>
                <w:highlight w:val="none"/>
                <w:lang w:val="en" w:eastAsia="zh-CN"/>
              </w:rPr>
            </w:pPr>
            <w:r>
              <w:rPr>
                <w:rFonts w:hint="eastAsia" w:ascii="Times New Roman" w:hAnsi="Times New Roman" w:cs="Times New Roman"/>
                <w:szCs w:val="21"/>
                <w:highlight w:val="none"/>
                <w:lang w:val="en-US" w:eastAsia="zh-CN"/>
              </w:rPr>
              <w:t>（</w:t>
            </w:r>
            <w:r>
              <w:rPr>
                <w:rFonts w:hint="eastAsia" w:ascii="Times New Roman" w:hAnsi="Times New Roman" w:cs="Times New Roman"/>
                <w:color w:val="auto"/>
                <w:szCs w:val="21"/>
                <w:highlight w:val="none"/>
                <w:lang w:val="en-US" w:eastAsia="zh-CN"/>
              </w:rPr>
              <w:t>5）</w:t>
            </w:r>
            <w:r>
              <w:rPr>
                <w:rFonts w:hint="eastAsia" w:ascii="Times New Roman" w:hAnsi="Times New Roman" w:eastAsia="宋体" w:cs="Times New Roman"/>
                <w:color w:val="auto"/>
                <w:szCs w:val="21"/>
                <w:highlight w:val="none"/>
                <w:lang w:val="en" w:eastAsia="zh-CN"/>
              </w:rPr>
              <w:t>三甲胺：量程0</w:t>
            </w:r>
            <w:r>
              <w:rPr>
                <w:rFonts w:hint="default" w:ascii="Times New Roman" w:hAnsi="Times New Roman" w:cs="Times New Roman"/>
                <w:szCs w:val="21"/>
                <w:highlight w:val="none"/>
                <w:lang w:val="en-US" w:eastAsia="zh-CN"/>
              </w:rPr>
              <w:t>-</w:t>
            </w:r>
            <w:r>
              <w:rPr>
                <w:rFonts w:hint="eastAsia" w:ascii="Times New Roman" w:hAnsi="Times New Roman" w:eastAsia="宋体" w:cs="Times New Roman"/>
                <w:color w:val="auto"/>
                <w:szCs w:val="21"/>
                <w:highlight w:val="none"/>
                <w:lang w:val="en" w:eastAsia="zh-CN"/>
              </w:rPr>
              <w:t>10ppm，分辨率0.01ppm；</w:t>
            </w:r>
          </w:p>
          <w:p>
            <w:pPr>
              <w:numPr>
                <w:ilvl w:val="0"/>
                <w:numId w:val="0"/>
              </w:numPr>
              <w:spacing w:line="480" w:lineRule="exact"/>
              <w:ind w:leftChars="0"/>
              <w:rPr>
                <w:rFonts w:hint="eastAsia" w:ascii="Times New Roman" w:hAnsi="Times New Roman" w:eastAsia="宋体" w:cs="Times New Roman"/>
                <w:color w:val="auto"/>
                <w:szCs w:val="21"/>
                <w:highlight w:val="none"/>
                <w:lang w:val="en" w:eastAsia="zh-CN"/>
              </w:rPr>
            </w:pPr>
            <w:r>
              <w:rPr>
                <w:rFonts w:hint="eastAsia" w:ascii="Times New Roman" w:hAnsi="Times New Roman" w:cs="Times New Roman"/>
                <w:color w:val="auto"/>
                <w:szCs w:val="21"/>
                <w:highlight w:val="none"/>
                <w:lang w:val="en-US" w:eastAsia="zh-CN"/>
              </w:rPr>
              <w:t>（6）</w:t>
            </w:r>
            <w:r>
              <w:rPr>
                <w:rFonts w:hint="eastAsia" w:ascii="Times New Roman" w:hAnsi="Times New Roman" w:eastAsia="宋体" w:cs="Times New Roman"/>
                <w:color w:val="auto"/>
                <w:szCs w:val="21"/>
                <w:highlight w:val="none"/>
                <w:lang w:val="en" w:eastAsia="zh-CN"/>
              </w:rPr>
              <w:t>苯乙烯：量程0</w:t>
            </w:r>
            <w:r>
              <w:rPr>
                <w:rFonts w:hint="default" w:ascii="Times New Roman" w:hAnsi="Times New Roman" w:cs="Times New Roman"/>
                <w:szCs w:val="21"/>
                <w:highlight w:val="none"/>
                <w:lang w:val="en-US" w:eastAsia="zh-CN"/>
              </w:rPr>
              <w:t>-</w:t>
            </w:r>
            <w:r>
              <w:rPr>
                <w:rFonts w:hint="eastAsia" w:ascii="Times New Roman" w:hAnsi="Times New Roman" w:eastAsia="宋体" w:cs="Times New Roman"/>
                <w:color w:val="auto"/>
                <w:szCs w:val="21"/>
                <w:highlight w:val="none"/>
                <w:lang w:val="en" w:eastAsia="zh-CN"/>
              </w:rPr>
              <w:t>10ppm，分辨率0.01ppm；</w:t>
            </w:r>
          </w:p>
          <w:p>
            <w:pPr>
              <w:numPr>
                <w:ilvl w:val="0"/>
                <w:numId w:val="0"/>
              </w:numPr>
              <w:spacing w:line="480" w:lineRule="exact"/>
              <w:ind w:leftChars="0"/>
              <w:rPr>
                <w:rFonts w:hint="eastAsia" w:ascii="Times New Roman" w:hAnsi="Times New Roman" w:eastAsia="宋体" w:cs="Times New Roman"/>
                <w:color w:val="auto"/>
                <w:szCs w:val="21"/>
                <w:highlight w:val="none"/>
                <w:lang w:val="en" w:eastAsia="zh-CN"/>
              </w:rPr>
            </w:pPr>
            <w:r>
              <w:rPr>
                <w:rFonts w:hint="eastAsia" w:ascii="Times New Roman" w:hAnsi="Times New Roman" w:cs="Times New Roman"/>
                <w:color w:val="auto"/>
                <w:szCs w:val="21"/>
                <w:highlight w:val="none"/>
                <w:lang w:val="en-US" w:eastAsia="zh-CN"/>
              </w:rPr>
              <w:t>（7）</w:t>
            </w:r>
            <w:r>
              <w:rPr>
                <w:rFonts w:hint="eastAsia" w:ascii="Times New Roman" w:hAnsi="Times New Roman" w:eastAsia="宋体" w:cs="Times New Roman"/>
                <w:color w:val="auto"/>
                <w:szCs w:val="21"/>
                <w:highlight w:val="none"/>
                <w:lang w:val="en" w:eastAsia="zh-CN"/>
              </w:rPr>
              <w:t>甲硫醚：量程0</w:t>
            </w:r>
            <w:r>
              <w:rPr>
                <w:rFonts w:hint="default" w:ascii="Times New Roman" w:hAnsi="Times New Roman" w:cs="Times New Roman"/>
                <w:szCs w:val="21"/>
                <w:highlight w:val="none"/>
                <w:lang w:val="en-US" w:eastAsia="zh-CN"/>
              </w:rPr>
              <w:t>-</w:t>
            </w:r>
            <w:r>
              <w:rPr>
                <w:rFonts w:hint="eastAsia" w:ascii="Times New Roman" w:hAnsi="Times New Roman" w:eastAsia="宋体" w:cs="Times New Roman"/>
                <w:color w:val="auto"/>
                <w:szCs w:val="21"/>
                <w:highlight w:val="none"/>
                <w:lang w:val="en" w:eastAsia="zh-CN"/>
              </w:rPr>
              <w:t>10ppm，分辨率0.01ppm；</w:t>
            </w:r>
          </w:p>
          <w:p>
            <w:pPr>
              <w:numPr>
                <w:ilvl w:val="0"/>
                <w:numId w:val="0"/>
              </w:numPr>
              <w:spacing w:line="480" w:lineRule="exact"/>
              <w:ind w:leftChars="0"/>
              <w:rPr>
                <w:rFonts w:hint="eastAsia" w:ascii="Times New Roman" w:hAnsi="Times New Roman" w:eastAsia="宋体" w:cs="Times New Roman"/>
                <w:color w:val="auto"/>
                <w:szCs w:val="21"/>
                <w:highlight w:val="none"/>
                <w:lang w:val="en" w:eastAsia="zh-CN"/>
              </w:rPr>
            </w:pPr>
            <w:r>
              <w:rPr>
                <w:rFonts w:hint="eastAsia" w:ascii="Times New Roman" w:hAnsi="Times New Roman" w:cs="Times New Roman"/>
                <w:color w:val="auto"/>
                <w:szCs w:val="21"/>
                <w:highlight w:val="none"/>
                <w:lang w:val="en-US" w:eastAsia="zh-CN"/>
              </w:rPr>
              <w:t>（8）</w:t>
            </w:r>
            <w:r>
              <w:rPr>
                <w:rFonts w:hint="eastAsia" w:ascii="Times New Roman" w:hAnsi="Times New Roman" w:eastAsia="宋体" w:cs="Times New Roman"/>
                <w:color w:val="auto"/>
                <w:szCs w:val="21"/>
                <w:highlight w:val="none"/>
                <w:lang w:val="en" w:eastAsia="zh-CN"/>
              </w:rPr>
              <w:t>二甲二硫：量程0</w:t>
            </w:r>
            <w:r>
              <w:rPr>
                <w:rFonts w:hint="default" w:ascii="Times New Roman" w:hAnsi="Times New Roman" w:cs="Times New Roman"/>
                <w:szCs w:val="21"/>
                <w:highlight w:val="none"/>
                <w:lang w:val="en-US" w:eastAsia="zh-CN"/>
              </w:rPr>
              <w:t>-</w:t>
            </w:r>
            <w:r>
              <w:rPr>
                <w:rFonts w:hint="eastAsia" w:ascii="Times New Roman" w:hAnsi="Times New Roman" w:eastAsia="宋体" w:cs="Times New Roman"/>
                <w:color w:val="auto"/>
                <w:szCs w:val="21"/>
                <w:highlight w:val="none"/>
                <w:lang w:val="en" w:eastAsia="zh-CN"/>
              </w:rPr>
              <w:t>10ppm，分辨率0.01ppm；</w:t>
            </w:r>
          </w:p>
          <w:p>
            <w:pPr>
              <w:numPr>
                <w:ilvl w:val="0"/>
                <w:numId w:val="0"/>
              </w:numPr>
              <w:spacing w:line="480" w:lineRule="exact"/>
              <w:ind w:leftChars="0"/>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（9）</w:t>
            </w:r>
            <w:r>
              <w:rPr>
                <w:rFonts w:hint="eastAsia" w:ascii="Times New Roman" w:hAnsi="Times New Roman" w:eastAsia="宋体" w:cs="Times New Roman"/>
                <w:color w:val="auto"/>
                <w:szCs w:val="21"/>
                <w:highlight w:val="none"/>
                <w:lang w:val="en" w:eastAsia="zh-CN"/>
              </w:rPr>
              <w:t>二硫化碳：量程0</w:t>
            </w:r>
            <w:r>
              <w:rPr>
                <w:rFonts w:hint="default" w:ascii="Times New Roman" w:hAnsi="Times New Roman" w:cs="Times New Roman"/>
                <w:szCs w:val="21"/>
                <w:highlight w:val="none"/>
                <w:lang w:val="en-US" w:eastAsia="zh-CN"/>
              </w:rPr>
              <w:t>-</w:t>
            </w:r>
            <w:r>
              <w:rPr>
                <w:rFonts w:hint="eastAsia" w:ascii="Times New Roman" w:hAnsi="Times New Roman" w:eastAsia="宋体" w:cs="Times New Roman"/>
                <w:color w:val="auto"/>
                <w:szCs w:val="21"/>
                <w:highlight w:val="none"/>
                <w:lang w:val="en" w:eastAsia="zh-CN"/>
              </w:rPr>
              <w:t>10ppm，分辨率0.01ppm；</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cs="Times New Roman"/>
                <w:szCs w:val="21"/>
                <w:highlight w:val="none"/>
                <w:lang w:val="en-US" w:eastAsia="zh-CN"/>
              </w:rPr>
              <w:t>7.</w:t>
            </w:r>
            <w:r>
              <w:rPr>
                <w:rFonts w:hint="default" w:ascii="Times New Roman" w:hAnsi="Times New Roman" w:cs="Times New Roman"/>
                <w:szCs w:val="21"/>
                <w:highlight w:val="none"/>
                <w:lang w:val="en-US" w:eastAsia="zh-CN"/>
              </w:rPr>
              <w:t>检测精度：≤±5%；</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8.</w:t>
            </w:r>
            <w:r>
              <w:rPr>
                <w:rFonts w:hint="default" w:ascii="Times New Roman" w:hAnsi="Times New Roman" w:cs="Times New Roman"/>
                <w:szCs w:val="21"/>
                <w:highlight w:val="none"/>
                <w:lang w:val="en-US" w:eastAsia="zh-CN"/>
              </w:rPr>
              <w:t>响应时间：≤60s；</w:t>
            </w:r>
          </w:p>
          <w:p>
            <w:pPr>
              <w:numPr>
                <w:ilvl w:val="0"/>
                <w:numId w:val="0"/>
              </w:numPr>
              <w:spacing w:line="480" w:lineRule="exact"/>
              <w:ind w:leftChars="0"/>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9.防护等级：不低于IP65；</w:t>
            </w:r>
          </w:p>
          <w:p>
            <w:pPr>
              <w:numPr>
                <w:ilvl w:val="0"/>
                <w:numId w:val="0"/>
              </w:numPr>
              <w:spacing w:line="480" w:lineRule="exact"/>
              <w:ind w:leftChars="0"/>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10.数据存储≥5000组；</w:t>
            </w:r>
          </w:p>
        </w:tc>
      </w:tr>
    </w:tbl>
    <w:p>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pPr>
        <w:spacing w:line="480" w:lineRule="exac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 废气监测设备（配套轻型无人机使用）</w:t>
      </w:r>
    </w:p>
    <w:tbl>
      <w:tblPr>
        <w:tblStyle w:val="10"/>
        <w:tblW w:w="8970"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7"/>
        <w:gridCol w:w="70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7" w:type="dxa"/>
            <w:vAlign w:val="center"/>
          </w:tcPr>
          <w:p>
            <w:pPr>
              <w:spacing w:line="480" w:lineRule="exact"/>
              <w:jc w:val="center"/>
              <w:rPr>
                <w:rFonts w:hint="default" w:ascii="Times New Roman" w:hAnsi="Times New Roman" w:cs="Times New Roman"/>
                <w:b w:val="0"/>
                <w:bCs w:val="0"/>
                <w:szCs w:val="21"/>
                <w:highlight w:val="none"/>
                <w:lang w:eastAsia="zh-CN"/>
              </w:rPr>
            </w:pPr>
            <w:r>
              <w:rPr>
                <w:rFonts w:hint="default" w:ascii="Times New Roman" w:hAnsi="Times New Roman" w:cs="Times New Roman"/>
                <w:b w:val="0"/>
                <w:bCs w:val="0"/>
                <w:szCs w:val="21"/>
                <w:highlight w:val="none"/>
              </w:rPr>
              <w:t>项目</w:t>
            </w:r>
          </w:p>
        </w:tc>
        <w:tc>
          <w:tcPr>
            <w:tcW w:w="7093" w:type="dxa"/>
            <w:vAlign w:val="center"/>
          </w:tcPr>
          <w:p>
            <w:pPr>
              <w:spacing w:line="480" w:lineRule="exact"/>
              <w:jc w:val="center"/>
              <w:rPr>
                <w:rFonts w:hint="default" w:ascii="Times New Roman" w:hAnsi="Times New Roman" w:eastAsia="等线" w:cs="Times New Roman"/>
                <w:b w:val="0"/>
                <w:bCs w:val="0"/>
                <w:kern w:val="0"/>
                <w:sz w:val="20"/>
                <w:szCs w:val="20"/>
                <w:highlight w:val="none"/>
              </w:rPr>
            </w:pPr>
            <w:r>
              <w:rPr>
                <w:rFonts w:hint="default" w:ascii="Times New Roman" w:hAnsi="Times New Roman" w:cs="Times New Roman"/>
                <w:b w:val="0"/>
                <w:bCs w:val="0"/>
                <w:szCs w:val="21"/>
                <w:highlight w:val="none"/>
              </w:rPr>
              <w:t>技术指标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0" w:hRule="atLeast"/>
        </w:trPr>
        <w:tc>
          <w:tcPr>
            <w:tcW w:w="1877" w:type="dxa"/>
            <w:vAlign w:val="center"/>
          </w:tcPr>
          <w:p>
            <w:pPr>
              <w:spacing w:line="480" w:lineRule="exact"/>
              <w:jc w:val="center"/>
              <w:rPr>
                <w:rFonts w:hint="default" w:ascii="Times New Roman" w:hAnsi="Times New Roman" w:eastAsia="宋体" w:cs="Times New Roman"/>
                <w:b w:val="0"/>
                <w:bCs w:val="0"/>
                <w:szCs w:val="21"/>
                <w:highlight w:val="none"/>
                <w:lang w:eastAsia="zh-CN"/>
              </w:rPr>
            </w:pPr>
            <w:r>
              <w:rPr>
                <w:rFonts w:hint="default" w:ascii="Times New Roman" w:hAnsi="Times New Roman" w:cs="Times New Roman"/>
                <w:b w:val="0"/>
                <w:bCs w:val="0"/>
                <w:szCs w:val="21"/>
                <w:highlight w:val="none"/>
                <w:lang w:eastAsia="zh-CN"/>
              </w:rPr>
              <w:t>性能参数</w:t>
            </w:r>
          </w:p>
        </w:tc>
        <w:tc>
          <w:tcPr>
            <w:tcW w:w="7093" w:type="dxa"/>
            <w:vAlign w:val="center"/>
          </w:tcPr>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lang w:val="en-US" w:eastAsia="zh-CN"/>
              </w:rPr>
              <w:t>适配大疆M4T型号无人机</w:t>
            </w:r>
            <w:r>
              <w:rPr>
                <w:rFonts w:hint="eastAsia" w:ascii="Times New Roman" w:hAnsi="Times New Roman" w:cs="Times New Roman"/>
                <w:szCs w:val="21"/>
                <w:highlight w:val="none"/>
                <w:lang w:val="en-US" w:eastAsia="zh-CN"/>
              </w:rPr>
              <w:t>；</w:t>
            </w:r>
          </w:p>
          <w:p>
            <w:pPr>
              <w:numPr>
                <w:ilvl w:val="0"/>
                <w:numId w:val="2"/>
              </w:numPr>
              <w:spacing w:line="480" w:lineRule="exact"/>
              <w:ind w:leftChars="0"/>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设备防护等级≥IP55，</w:t>
            </w:r>
            <w:r>
              <w:rPr>
                <w:rFonts w:hint="eastAsia" w:ascii="Times New Roman" w:hAnsi="Times New Roman" w:eastAsia="宋体" w:cs="Times New Roman"/>
                <w:szCs w:val="21"/>
                <w:highlight w:val="none"/>
                <w:lang w:val="en-US" w:eastAsia="zh-CN"/>
              </w:rPr>
              <w:t>质量≤240g</w:t>
            </w:r>
            <w:r>
              <w:rPr>
                <w:rFonts w:hint="eastAsia" w:ascii="Times New Roman" w:hAnsi="Times New Roman" w:cs="Times New Roman"/>
                <w:szCs w:val="21"/>
                <w:highlight w:val="none"/>
                <w:lang w:val="en-US" w:eastAsia="zh-CN"/>
              </w:rPr>
              <w:t>；</w:t>
            </w:r>
          </w:p>
          <w:p>
            <w:pPr>
              <w:numPr>
                <w:ilvl w:val="0"/>
                <w:numId w:val="2"/>
              </w:numPr>
              <w:spacing w:line="480" w:lineRule="exact"/>
              <w:ind w:leftChars="0"/>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支持监测TVOC、OU等，并可同时显示温度、湿度、气压指标；</w:t>
            </w:r>
          </w:p>
          <w:p>
            <w:pPr>
              <w:numPr>
                <w:ilvl w:val="0"/>
                <w:numId w:val="2"/>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具体参数</w:t>
            </w:r>
            <w:r>
              <w:rPr>
                <w:rFonts w:hint="eastAsia" w:ascii="Times New Roman" w:hAnsi="Times New Roman" w:eastAsia="宋体" w:cs="Times New Roman"/>
                <w:szCs w:val="21"/>
                <w:highlight w:val="none"/>
                <w:lang w:val="en-US" w:eastAsia="zh-CN"/>
              </w:rPr>
              <w:t>：</w:t>
            </w:r>
          </w:p>
          <w:p>
            <w:pPr>
              <w:numPr>
                <w:ilvl w:val="0"/>
                <w:numId w:val="0"/>
              </w:numPr>
              <w:spacing w:line="480" w:lineRule="exact"/>
              <w:rPr>
                <w:rFonts w:hint="eastAsia"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cs="Times New Roman"/>
                <w:szCs w:val="21"/>
                <w:highlight w:val="none"/>
                <w:lang w:val="en-US" w:eastAsia="zh-CN"/>
              </w:rPr>
              <w:t>（1）</w:t>
            </w:r>
            <w:r>
              <w:rPr>
                <w:rFonts w:hint="eastAsia" w:ascii="Times New Roman" w:hAnsi="Times New Roman" w:eastAsia="宋体" w:cs="Times New Roman"/>
                <w:szCs w:val="21"/>
                <w:highlight w:val="none"/>
                <w:lang w:val="en-US" w:eastAsia="zh-CN"/>
              </w:rPr>
              <w:t>TVOC：量程0-50ppm，检出限5ppb，重复性＜5%，分辨率~1ppb；</w:t>
            </w:r>
          </w:p>
          <w:p>
            <w:pPr>
              <w:numPr>
                <w:ilvl w:val="0"/>
                <w:numId w:val="0"/>
              </w:numPr>
              <w:spacing w:line="480" w:lineRule="exact"/>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w:t>
            </w:r>
            <w:r>
              <w:rPr>
                <w:rFonts w:hint="eastAsia" w:ascii="Times New Roman" w:hAnsi="Times New Roman" w:cs="Times New Roman"/>
                <w:szCs w:val="21"/>
                <w:highlight w:val="none"/>
                <w:lang w:val="en-US" w:eastAsia="zh-CN"/>
              </w:rPr>
              <w:t>（2）</w:t>
            </w:r>
            <w:r>
              <w:rPr>
                <w:rFonts w:hint="eastAsia" w:ascii="Times New Roman" w:hAnsi="Times New Roman" w:eastAsia="宋体" w:cs="Times New Roman"/>
                <w:szCs w:val="21"/>
                <w:highlight w:val="none"/>
                <w:lang w:val="en-US" w:eastAsia="zh-CN"/>
              </w:rPr>
              <w:t>OU：量程0-10ppm，检出限~0.1ppm，重复性＜5%，分辨率0.01ppm；</w:t>
            </w:r>
          </w:p>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5</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配套平台支持地图轨迹联动渲染，实时同步设备移动路径与数据点位，轨迹可视化效果支持点云图、</w:t>
            </w:r>
            <w:r>
              <w:rPr>
                <w:rFonts w:hint="eastAsia" w:ascii="Times New Roman" w:hAnsi="Times New Roman" w:cs="Times New Roman"/>
                <w:szCs w:val="21"/>
                <w:highlight w:val="none"/>
                <w:lang w:val="en-US" w:eastAsia="zh-CN"/>
              </w:rPr>
              <w:t>正方形或</w:t>
            </w:r>
            <w:r>
              <w:rPr>
                <w:rFonts w:hint="default" w:ascii="Times New Roman" w:hAnsi="Times New Roman" w:eastAsia="宋体" w:cs="Times New Roman"/>
                <w:szCs w:val="21"/>
                <w:highlight w:val="none"/>
                <w:lang w:val="en-US" w:eastAsia="zh-CN"/>
              </w:rPr>
              <w:t>六边形网格图及空气污染物浓度实时变化曲线图，且可动态调节点云半径与网格边长大小，自由切换空间分辨率，</w:t>
            </w:r>
            <w:r>
              <w:rPr>
                <w:rFonts w:hint="eastAsia" w:ascii="Times New Roman" w:hAnsi="Times New Roman" w:cs="Times New Roman"/>
                <w:szCs w:val="21"/>
                <w:highlight w:val="none"/>
                <w:lang w:val="en-US" w:eastAsia="zh-CN"/>
              </w:rPr>
              <w:t>正方形或</w:t>
            </w:r>
            <w:r>
              <w:rPr>
                <w:rFonts w:hint="default" w:ascii="Times New Roman" w:hAnsi="Times New Roman" w:eastAsia="宋体" w:cs="Times New Roman"/>
                <w:szCs w:val="21"/>
                <w:highlight w:val="none"/>
                <w:lang w:val="en-US" w:eastAsia="zh-CN"/>
              </w:rPr>
              <w:t>六边形数据网格内可展示平均值、最大值、最小值等多个数据指标，便于用户进行比对分析提升综合研判能力；</w:t>
            </w:r>
          </w:p>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配套平台支持实时数据和历史数据通过单/双/四视图切换展示不同数据情况；</w:t>
            </w:r>
          </w:p>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7</w:t>
            </w:r>
            <w:r>
              <w:rPr>
                <w:rFonts w:hint="eastAsia" w:ascii="Times New Roman" w:hAnsi="Times New Roman" w:eastAsia="宋体" w:cs="Times New Roman"/>
                <w:szCs w:val="21"/>
                <w:highlight w:val="none"/>
                <w:lang w:val="en-US" w:eastAsia="zh-CN"/>
              </w:rPr>
              <w:t>.数据</w:t>
            </w:r>
            <w:r>
              <w:rPr>
                <w:rFonts w:hint="default" w:ascii="Times New Roman" w:hAnsi="Times New Roman" w:eastAsia="宋体" w:cs="Times New Roman"/>
                <w:szCs w:val="21"/>
                <w:highlight w:val="none"/>
                <w:lang w:val="en-US" w:eastAsia="zh-CN"/>
              </w:rPr>
              <w:t>展示支持2D</w:t>
            </w:r>
            <w:r>
              <w:rPr>
                <w:rFonts w:hint="eastAsia" w:ascii="Times New Roman" w:hAnsi="Times New Roman" w:cs="Times New Roman"/>
                <w:szCs w:val="21"/>
                <w:highlight w:val="none"/>
                <w:lang w:val="en-US" w:eastAsia="zh-CN"/>
              </w:rPr>
              <w:t>或</w:t>
            </w:r>
            <w:r>
              <w:rPr>
                <w:rFonts w:hint="default" w:ascii="Times New Roman" w:hAnsi="Times New Roman" w:eastAsia="宋体" w:cs="Times New Roman"/>
                <w:szCs w:val="21"/>
                <w:highlight w:val="none"/>
                <w:lang w:val="en-US" w:eastAsia="zh-CN"/>
              </w:rPr>
              <w:t>3D点云、2D</w:t>
            </w:r>
            <w:r>
              <w:rPr>
                <w:rFonts w:hint="eastAsia" w:ascii="Times New Roman" w:hAnsi="Times New Roman" w:cs="Times New Roman"/>
                <w:szCs w:val="21"/>
                <w:highlight w:val="none"/>
                <w:lang w:val="en-US" w:eastAsia="zh-CN"/>
              </w:rPr>
              <w:t>或</w:t>
            </w:r>
            <w:r>
              <w:rPr>
                <w:rFonts w:hint="default" w:ascii="Times New Roman" w:hAnsi="Times New Roman" w:eastAsia="宋体" w:cs="Times New Roman"/>
                <w:szCs w:val="21"/>
                <w:highlight w:val="none"/>
                <w:lang w:val="en-US" w:eastAsia="zh-CN"/>
              </w:rPr>
              <w:t>3D网格、2D</w:t>
            </w:r>
            <w:r>
              <w:rPr>
                <w:rFonts w:hint="eastAsia" w:ascii="Times New Roman" w:hAnsi="Times New Roman" w:cs="Times New Roman"/>
                <w:szCs w:val="21"/>
                <w:highlight w:val="none"/>
                <w:lang w:val="en-US" w:eastAsia="zh-CN"/>
              </w:rPr>
              <w:t>或</w:t>
            </w:r>
            <w:r>
              <w:rPr>
                <w:rFonts w:hint="default" w:ascii="Times New Roman" w:hAnsi="Times New Roman" w:eastAsia="宋体" w:cs="Times New Roman"/>
                <w:szCs w:val="21"/>
                <w:highlight w:val="none"/>
                <w:lang w:val="en-US" w:eastAsia="zh-CN"/>
              </w:rPr>
              <w:t>3D插值</w:t>
            </w:r>
            <w:r>
              <w:rPr>
                <w:rFonts w:hint="eastAsia" w:ascii="Times New Roman" w:hAnsi="Times New Roman" w:eastAsia="宋体" w:cs="Times New Roman"/>
                <w:szCs w:val="21"/>
                <w:highlight w:val="none"/>
                <w:lang w:val="en-US" w:eastAsia="zh-CN"/>
              </w:rPr>
              <w:t>等</w:t>
            </w:r>
            <w:r>
              <w:rPr>
                <w:rFonts w:hint="default" w:ascii="Times New Roman" w:hAnsi="Times New Roman" w:eastAsia="宋体" w:cs="Times New Roman"/>
                <w:szCs w:val="21"/>
                <w:highlight w:val="none"/>
                <w:lang w:val="en-US" w:eastAsia="zh-CN"/>
              </w:rPr>
              <w:t>呈现方式，且折线图数据支持与呈现的可视化数据一一对应显示，便于后续数据分析；</w:t>
            </w:r>
          </w:p>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8</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平台支持对历史数据进行自定义区域数据统计，便于用户统计重点关注区域的数据情况，内容包含面积大小、原始数据点数量、最大值、最小值、平均值、中位数</w:t>
            </w:r>
            <w:r>
              <w:rPr>
                <w:rFonts w:hint="eastAsia" w:ascii="Times New Roman" w:hAnsi="Times New Roman" w:eastAsia="宋体" w:cs="Times New Roman"/>
                <w:szCs w:val="21"/>
                <w:highlight w:val="none"/>
                <w:lang w:val="en-US" w:eastAsia="zh-CN"/>
              </w:rPr>
              <w:t>等</w:t>
            </w:r>
            <w:r>
              <w:rPr>
                <w:rFonts w:hint="default" w:ascii="Times New Roman" w:hAnsi="Times New Roman" w:eastAsia="宋体" w:cs="Times New Roman"/>
                <w:szCs w:val="21"/>
                <w:highlight w:val="none"/>
                <w:lang w:val="en-US" w:eastAsia="zh-CN"/>
              </w:rPr>
              <w:t>；</w:t>
            </w:r>
          </w:p>
          <w:p>
            <w:pPr>
              <w:numPr>
                <w:ilvl w:val="0"/>
                <w:numId w:val="0"/>
              </w:numPr>
              <w:spacing w:line="480" w:lineRule="exact"/>
              <w:ind w:leftChars="0"/>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9</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平台具备风场展示功能，支持将实时或历史风场数据叠加至地图视图，帮助用户更直观地判断污染物的传播路径、扩散趋势及可能的影响区域；</w:t>
            </w:r>
          </w:p>
          <w:p>
            <w:pPr>
              <w:numPr>
                <w:ilvl w:val="0"/>
                <w:numId w:val="0"/>
              </w:numPr>
              <w:spacing w:line="480" w:lineRule="exact"/>
              <w:ind w:leftChars="0"/>
              <w:rPr>
                <w:rFonts w:hint="default" w:ascii="Times New Roman" w:hAnsi="Times New Roman" w:eastAsia="等线" w:cs="Times New Roman"/>
                <w:b w:val="0"/>
                <w:bCs w:val="0"/>
                <w:kern w:val="0"/>
                <w:sz w:val="20"/>
                <w:szCs w:val="20"/>
                <w:highlight w:val="none"/>
                <w:lang w:val="en-US" w:eastAsia="zh-CN"/>
              </w:rPr>
            </w:pPr>
            <w:r>
              <w:rPr>
                <w:rFonts w:hint="eastAsia" w:ascii="Times New Roman" w:hAnsi="Times New Roman" w:cs="Times New Roman"/>
                <w:szCs w:val="21"/>
                <w:highlight w:val="none"/>
                <w:lang w:val="en-US" w:eastAsia="zh-CN"/>
              </w:rPr>
              <w:t>10</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平台支持导出PDF/WORD格式气体浓度数据报告，或CSV原始数据表。</w:t>
            </w:r>
          </w:p>
        </w:tc>
      </w:tr>
    </w:tbl>
    <w:p>
      <w:pPr>
        <w:keepNext w:val="0"/>
        <w:keepLines w:val="0"/>
        <w:pageBreakBefore w:val="0"/>
        <w:widowControl/>
        <w:kinsoku/>
        <w:wordWrap/>
        <w:overflowPunct/>
        <w:topLinePunct w:val="0"/>
        <w:autoSpaceDE/>
        <w:autoSpaceDN/>
        <w:bidi w:val="0"/>
        <w:adjustRightInd/>
        <w:snapToGrid/>
        <w:spacing w:line="320" w:lineRule="exact"/>
        <w:jc w:val="both"/>
        <w:textAlignment w:val="baseline"/>
        <w:rPr>
          <w:rFonts w:hint="default" w:ascii="Times New Roman" w:hAnsi="Times New Roman" w:eastAsia="仿宋_GB2312" w:cs="Times New Roman"/>
          <w:spacing w:val="-5"/>
          <w:kern w:val="0"/>
          <w:sz w:val="24"/>
          <w:szCs w:val="24"/>
          <w:highlight w:val="none"/>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p>
    <w:p>
      <w:pPr>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br w:type="page"/>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注：</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en-US" w:eastAsia="zh-CN"/>
        </w:rPr>
      </w:pPr>
      <w:r>
        <w:rPr>
          <w:rFonts w:hint="default" w:ascii="Times New Roman" w:hAnsi="Times New Roman" w:eastAsia="仿宋_GB2312" w:cs="Times New Roman"/>
          <w:spacing w:val="-5"/>
          <w:kern w:val="0"/>
          <w:sz w:val="24"/>
          <w:szCs w:val="24"/>
          <w:highlight w:val="none"/>
          <w:lang w:val="zh-CN" w:eastAsia="zh-CN"/>
        </w:rPr>
        <w:t>1、投标人应注意以下响应内容：</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en-US" w:eastAsia="zh-CN"/>
        </w:rPr>
        <w:t>（1</w:t>
      </w:r>
      <w:r>
        <w:rPr>
          <w:rFonts w:hint="default" w:ascii="Times New Roman" w:hAnsi="Times New Roman" w:eastAsia="仿宋_GB2312" w:cs="Times New Roman"/>
          <w:spacing w:val="-5"/>
          <w:kern w:val="0"/>
          <w:sz w:val="24"/>
          <w:szCs w:val="24"/>
          <w:highlight w:val="none"/>
          <w:lang w:val="zh-CN" w:eastAsia="zh-CN"/>
        </w:rPr>
        <w:t>）招标文件条款为本次采购的较重要要求，投标人无法满足或响应时将影响其技术评分。</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w:t>
      </w:r>
      <w:r>
        <w:rPr>
          <w:rFonts w:hint="default" w:ascii="Times New Roman" w:hAnsi="Times New Roman" w:eastAsia="仿宋_GB2312" w:cs="Times New Roman"/>
          <w:spacing w:val="-5"/>
          <w:kern w:val="0"/>
          <w:sz w:val="24"/>
          <w:szCs w:val="24"/>
          <w:highlight w:val="none"/>
          <w:lang w:val="en-US" w:eastAsia="zh-CN"/>
        </w:rPr>
        <w:t>2</w:t>
      </w:r>
      <w:r>
        <w:rPr>
          <w:rFonts w:hint="default" w:ascii="Times New Roman" w:hAnsi="Times New Roman" w:eastAsia="仿宋_GB2312" w:cs="Times New Roman"/>
          <w:spacing w:val="-5"/>
          <w:kern w:val="0"/>
          <w:sz w:val="24"/>
          <w:szCs w:val="24"/>
          <w:highlight w:val="none"/>
          <w:lang w:val="zh-CN" w:eastAsia="zh-CN"/>
        </w:rPr>
        <w:t>）投标人在响应投标方案中应尽量列出具体参数或作出详细应答。如果投标人只简单注明“符合”或“满足”，将影响投标人技术商务评分。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优于要求的不视作负偏离，不构成无效投标条件，但投标人须对这种优于要求的情况单独作出说明。存在学术争议的内容不视为正偏离。</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2、投标人须承诺提供厂商原装、全新的、符合国家及用户提出的有关质量标准的设备。</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3、投标人应对用户需求书中的设备性能和技术指标在响应详细内容中列出具体数值或明确承诺。如果投标人只注明“正偏离”或“无偏离”，将被视为“负偏离”，从而可能导致严重影响评标结果。</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4、投标人所投产品除招标文件中明确规定要求提供彩页或相应检测（技术）报告等证明材料以外，所有技术参数描述均以投标文件为准（投标文件内厂家提供的技术参数描述与投标人投标技术参数描述不一致时，以厂家提供的技术参数描述为准）。投标人须对所投产品技术参数的真实性承担法律责任。</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5、涉及到软件产品的，须采购和使用正版软件</w:t>
      </w:r>
      <w:bookmarkStart w:id="0" w:name="_GoBack"/>
      <w:bookmarkEnd w:id="0"/>
      <w:r>
        <w:rPr>
          <w:rFonts w:hint="default" w:ascii="Times New Roman" w:hAnsi="Times New Roman" w:eastAsia="仿宋_GB2312" w:cs="Times New Roman"/>
          <w:spacing w:val="-5"/>
          <w:kern w:val="0"/>
          <w:sz w:val="24"/>
          <w:szCs w:val="24"/>
          <w:highlight w:val="none"/>
          <w:lang w:val="zh-CN" w:eastAsia="zh-CN"/>
        </w:rPr>
        <w:t>。</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6、投标人没有在投标文件中注明偏离（文字说明或在响应表注明）的参数、配置、条款视为被投标人完全接受。</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7、投标人应保证，采购人在中华人民共和国使用该货物或货物的任何一部分时，免受第三方提出的侵犯其专利权、商标权、著作权或其它知识产权的起诉。</w:t>
      </w:r>
    </w:p>
    <w:p>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en-US" w:eastAsia="zh-CN"/>
        </w:rPr>
        <w:t>8</w:t>
      </w:r>
      <w:r>
        <w:rPr>
          <w:rFonts w:hint="default" w:ascii="Times New Roman" w:hAnsi="Times New Roman" w:eastAsia="仿宋_GB2312" w:cs="Times New Roman"/>
          <w:spacing w:val="-5"/>
          <w:kern w:val="0"/>
          <w:sz w:val="24"/>
          <w:szCs w:val="24"/>
          <w:highlight w:val="none"/>
          <w:lang w:val="zh-CN" w:eastAsia="zh-CN"/>
        </w:rPr>
        <w:t>、投标报价包括：货款、设计、安装、随机零配件、标配工具、运输、保险、包装、调试、验收、培训、售后服务、运维服务、质量保证期服务、各项税费及合同实施过程中不可预见费用等。</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楷体_GBK">
    <w:panose1 w:val="02000000000000000000"/>
    <w:charset w:val="86"/>
    <w:family w:val="auto"/>
    <w:pitch w:val="default"/>
    <w:sig w:usb0="00000001" w:usb1="08000000" w:usb2="00000000" w:usb3="00000000" w:csb0="00040000" w:csb1="00000000"/>
  </w:font>
  <w:font w:name="Noto Sans CJK SC Regular">
    <w:altName w:val="思源黑体"/>
    <w:panose1 w:val="020B0500000000000000"/>
    <w:charset w:val="86"/>
    <w:family w:val="auto"/>
    <w:pitch w:val="default"/>
    <w:sig w:usb0="00000000" w:usb1="00000000" w:usb2="00000016" w:usb3="00000000" w:csb0="602E0107" w:csb1="00000000"/>
  </w:font>
  <w:font w:name="思源黑体">
    <w:panose1 w:val="020B0500000000000000"/>
    <w:charset w:val="86"/>
    <w:family w:val="auto"/>
    <w:pitch w:val="default"/>
    <w:sig w:usb0="30000083" w:usb1="2BDF3C10" w:usb2="00000016" w:usb3="00000000" w:csb0="602E0107"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55A3D"/>
    <w:multiLevelType w:val="singleLevel"/>
    <w:tmpl w:val="5FF55A3D"/>
    <w:lvl w:ilvl="0" w:tentative="0">
      <w:start w:val="2"/>
      <w:numFmt w:val="decimal"/>
      <w:lvlText w:val="%1."/>
      <w:lvlJc w:val="left"/>
      <w:pPr>
        <w:tabs>
          <w:tab w:val="left" w:pos="312"/>
        </w:tabs>
      </w:p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1FFB731"/>
    <w:rsid w:val="12F017DE"/>
    <w:rsid w:val="1CB31A88"/>
    <w:rsid w:val="1DFE6FB2"/>
    <w:rsid w:val="1F1FC43C"/>
    <w:rsid w:val="1F511CA1"/>
    <w:rsid w:val="1FF3A214"/>
    <w:rsid w:val="27AF1E9D"/>
    <w:rsid w:val="27F74992"/>
    <w:rsid w:val="2BF2B967"/>
    <w:rsid w:val="2BFEF74F"/>
    <w:rsid w:val="2FE8DAF1"/>
    <w:rsid w:val="2FFF1466"/>
    <w:rsid w:val="33FF0FAD"/>
    <w:rsid w:val="37C750A8"/>
    <w:rsid w:val="39FFB3B5"/>
    <w:rsid w:val="3E31E310"/>
    <w:rsid w:val="3EED8DBA"/>
    <w:rsid w:val="3F7D9CA4"/>
    <w:rsid w:val="3F9F3665"/>
    <w:rsid w:val="3FDF0B67"/>
    <w:rsid w:val="457B8617"/>
    <w:rsid w:val="473F8AED"/>
    <w:rsid w:val="497FEC9E"/>
    <w:rsid w:val="4A1947CF"/>
    <w:rsid w:val="4B750168"/>
    <w:rsid w:val="4EFBAAE5"/>
    <w:rsid w:val="4FFD620D"/>
    <w:rsid w:val="54FA228A"/>
    <w:rsid w:val="56CB3706"/>
    <w:rsid w:val="57371781"/>
    <w:rsid w:val="58ED47BA"/>
    <w:rsid w:val="5BBE3EBD"/>
    <w:rsid w:val="5BFF0E6F"/>
    <w:rsid w:val="5EF8A2B1"/>
    <w:rsid w:val="5FFF62BA"/>
    <w:rsid w:val="676AF034"/>
    <w:rsid w:val="67F6ED20"/>
    <w:rsid w:val="6DF44F00"/>
    <w:rsid w:val="6EF529EF"/>
    <w:rsid w:val="6F2F64AE"/>
    <w:rsid w:val="6FAEA39B"/>
    <w:rsid w:val="709A3070"/>
    <w:rsid w:val="72BD0035"/>
    <w:rsid w:val="73FFC61E"/>
    <w:rsid w:val="75FB6A43"/>
    <w:rsid w:val="7639B482"/>
    <w:rsid w:val="76B06FB4"/>
    <w:rsid w:val="77AA7745"/>
    <w:rsid w:val="77BB7046"/>
    <w:rsid w:val="77FD8B69"/>
    <w:rsid w:val="785972B2"/>
    <w:rsid w:val="78E63D39"/>
    <w:rsid w:val="79DA1B64"/>
    <w:rsid w:val="7AE7DE10"/>
    <w:rsid w:val="7AEFB225"/>
    <w:rsid w:val="7B6FEAD2"/>
    <w:rsid w:val="7B7FD36B"/>
    <w:rsid w:val="7B87BDD5"/>
    <w:rsid w:val="7BB7FE12"/>
    <w:rsid w:val="7BFF891E"/>
    <w:rsid w:val="7CFD2383"/>
    <w:rsid w:val="7D0E8C59"/>
    <w:rsid w:val="7D3F1949"/>
    <w:rsid w:val="7D5E2D16"/>
    <w:rsid w:val="7DEF35ED"/>
    <w:rsid w:val="7EFE75FF"/>
    <w:rsid w:val="7F2F65BC"/>
    <w:rsid w:val="7F6EA8D5"/>
    <w:rsid w:val="7F7F1DDB"/>
    <w:rsid w:val="7F9FE125"/>
    <w:rsid w:val="7FDA7EE0"/>
    <w:rsid w:val="7FEF7B4B"/>
    <w:rsid w:val="7FEFB0D7"/>
    <w:rsid w:val="7FFBAC6F"/>
    <w:rsid w:val="9B7F19BB"/>
    <w:rsid w:val="9F5B2ACF"/>
    <w:rsid w:val="9FFFF2D0"/>
    <w:rsid w:val="AB1AE426"/>
    <w:rsid w:val="AEF3759A"/>
    <w:rsid w:val="B5E56301"/>
    <w:rsid w:val="BBAF8124"/>
    <w:rsid w:val="BBED17A6"/>
    <w:rsid w:val="BDFD4B44"/>
    <w:rsid w:val="BF4F14A7"/>
    <w:rsid w:val="BF7289F1"/>
    <w:rsid w:val="BF7AE4B6"/>
    <w:rsid w:val="BF7ECD0B"/>
    <w:rsid w:val="BFB5F666"/>
    <w:rsid w:val="BFCDFEA2"/>
    <w:rsid w:val="BFFD1307"/>
    <w:rsid w:val="CD532D25"/>
    <w:rsid w:val="CEDFB334"/>
    <w:rsid w:val="D1BD61FE"/>
    <w:rsid w:val="D7BF52E2"/>
    <w:rsid w:val="D7DDA11F"/>
    <w:rsid w:val="D87FD6CF"/>
    <w:rsid w:val="DB430CBF"/>
    <w:rsid w:val="DB7EE471"/>
    <w:rsid w:val="DCFE3CD6"/>
    <w:rsid w:val="DD6754DA"/>
    <w:rsid w:val="DFFA4FC3"/>
    <w:rsid w:val="DFFF71CB"/>
    <w:rsid w:val="E5FFCC91"/>
    <w:rsid w:val="E7FA81BF"/>
    <w:rsid w:val="EDDE04B0"/>
    <w:rsid w:val="EF3F498B"/>
    <w:rsid w:val="EF657C36"/>
    <w:rsid w:val="EFCFE634"/>
    <w:rsid w:val="EFDB768E"/>
    <w:rsid w:val="F5FF0F01"/>
    <w:rsid w:val="F5FF8B99"/>
    <w:rsid w:val="F7DDD0B3"/>
    <w:rsid w:val="F7DF2C12"/>
    <w:rsid w:val="F7EDA1C1"/>
    <w:rsid w:val="F7F59BC2"/>
    <w:rsid w:val="F7FD37B3"/>
    <w:rsid w:val="F97F63BF"/>
    <w:rsid w:val="FAF9F6CC"/>
    <w:rsid w:val="FB72F4C6"/>
    <w:rsid w:val="FBDF9348"/>
    <w:rsid w:val="FD5F4987"/>
    <w:rsid w:val="FD7FFC82"/>
    <w:rsid w:val="FDF2AB8C"/>
    <w:rsid w:val="FE8EA6D9"/>
    <w:rsid w:val="FEFB2E4A"/>
    <w:rsid w:val="FF0FCCB6"/>
    <w:rsid w:val="FF2DCA6A"/>
    <w:rsid w:val="FF72F16E"/>
    <w:rsid w:val="FF7363A1"/>
    <w:rsid w:val="FF7B1D5D"/>
    <w:rsid w:val="FFAF9FE3"/>
    <w:rsid w:val="FFB7B8B9"/>
    <w:rsid w:val="FFBF011A"/>
    <w:rsid w:val="FFE785C9"/>
    <w:rsid w:val="FFE7977F"/>
    <w:rsid w:val="FFE7A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outlineLvl w:val="0"/>
    </w:pPr>
    <w:rPr>
      <w:rFonts w:eastAsia="黑体"/>
      <w:bCs/>
      <w:kern w:val="44"/>
      <w:sz w:val="30"/>
      <w:szCs w:val="4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after="120" w:afterLines="0" w:afterAutospacing="0"/>
    </w:pPr>
  </w:style>
  <w:style w:type="paragraph" w:customStyle="1" w:styleId="5">
    <w:name w:val="引用1"/>
    <w:basedOn w:val="1"/>
    <w:next w:val="1"/>
    <w:qFormat/>
    <w:uiPriority w:val="0"/>
    <w:rPr>
      <w:rFonts w:ascii="Calibri" w:hAnsi="Calibri" w:cs="宋体"/>
      <w:i/>
      <w:color w:val="000000"/>
      <w:kern w:val="0"/>
      <w:sz w:val="20"/>
      <w:szCs w:val="20"/>
    </w:r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Table Paragraph"/>
    <w:basedOn w:val="1"/>
    <w:qFormat/>
    <w:uiPriority w:val="1"/>
    <w:pPr>
      <w:spacing w:before="18"/>
      <w:ind w:left="38"/>
    </w:pPr>
  </w:style>
  <w:style w:type="paragraph" w:customStyle="1" w:styleId="13">
    <w:name w:val="标题和内容~LT~Gliederung 1"/>
    <w:basedOn w:val="1"/>
    <w:semiHidden/>
    <w:qFormat/>
    <w:uiPriority w:val="0"/>
    <w:pPr>
      <w:autoSpaceDE w:val="0"/>
      <w:autoSpaceDN w:val="0"/>
      <w:adjustRightInd w:val="0"/>
      <w:jc w:val="left"/>
    </w:pPr>
    <w:rPr>
      <w:rFonts w:ascii="Noto Sans CJK SC Regular" w:hAnsi="Noto Sans CJK SC Regular" w:eastAsia="宋体" w:cs="宋体"/>
      <w:color w:val="000000"/>
      <w:sz w:val="56"/>
      <w:szCs w:val="5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28</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2018-07-21T23:11:00Z</dcterms:created>
  <dc:creator>Administrator</dc:creator>
  <cp:lastModifiedBy>uos</cp:lastModifiedBy>
  <cp:lastPrinted>2026-05-15T00:37:00Z</cp:lastPrinted>
  <dcterms:modified xsi:type="dcterms:W3CDTF">2026-05-20T09:15:39Z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35C3366A427F5E9F86B92D6662A5D783</vt:lpwstr>
  </property>
</Properties>
</file>