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eastAsia="仿宋_GB2312"/>
          <w:sz w:val="32"/>
          <w:szCs w:val="32"/>
        </w:rPr>
      </w:pPr>
      <w:bookmarkStart w:id="0" w:name="_GoBack"/>
      <w:bookmarkEnd w:id="0"/>
      <w:r>
        <w:rPr>
          <w:rFonts w:eastAsia="仿宋_GB2312"/>
          <w:sz w:val="32"/>
          <w:szCs w:val="32"/>
        </w:rPr>
        <w:t>附件</w:t>
      </w:r>
      <w:r>
        <w:rPr>
          <w:rFonts w:hint="eastAsia" w:eastAsia="仿宋_GB2312"/>
          <w:sz w:val="32"/>
          <w:szCs w:val="32"/>
        </w:rPr>
        <w:t>2</w:t>
      </w:r>
    </w:p>
    <w:p>
      <w:pPr>
        <w:spacing w:line="600" w:lineRule="exact"/>
        <w:jc w:val="center"/>
        <w:rPr>
          <w:rFonts w:eastAsia="方正小标宋简体"/>
          <w:bCs/>
          <w:kern w:val="0"/>
          <w:sz w:val="44"/>
          <w:szCs w:val="44"/>
        </w:rPr>
      </w:pPr>
      <w:r>
        <w:rPr>
          <w:rFonts w:eastAsia="方正小标宋简体"/>
          <w:sz w:val="44"/>
          <w:szCs w:val="44"/>
        </w:rPr>
        <w:t>江门市市场监督管理局</w:t>
      </w:r>
      <w:r>
        <w:rPr>
          <w:rFonts w:hint="eastAsia" w:eastAsia="方正小标宋简体"/>
          <w:sz w:val="44"/>
          <w:szCs w:val="44"/>
        </w:rPr>
        <w:t>2026年度</w:t>
      </w:r>
      <w:r>
        <w:rPr>
          <w:rFonts w:hint="eastAsia" w:ascii="方正小标宋简体" w:hAnsi="方正小标宋简体" w:eastAsia="方正小标宋简体" w:cs="方正小标宋简体"/>
          <w:bCs/>
          <w:sz w:val="44"/>
          <w:szCs w:val="44"/>
          <w:lang w:eastAsia="zh-CN"/>
        </w:rPr>
        <w:t>知识产权执法保护项目</w:t>
      </w:r>
      <w:r>
        <w:rPr>
          <w:rFonts w:eastAsia="方正小标宋简体"/>
          <w:bCs/>
          <w:kern w:val="0"/>
          <w:sz w:val="44"/>
          <w:szCs w:val="44"/>
        </w:rPr>
        <w:t>综合评</w:t>
      </w:r>
      <w:r>
        <w:rPr>
          <w:rFonts w:hint="eastAsia" w:eastAsia="方正小标宋简体"/>
          <w:bCs/>
          <w:kern w:val="0"/>
          <w:sz w:val="44"/>
          <w:szCs w:val="44"/>
        </w:rPr>
        <w:t>分</w:t>
      </w:r>
      <w:r>
        <w:rPr>
          <w:rFonts w:eastAsia="方正小标宋简体"/>
          <w:bCs/>
          <w:kern w:val="0"/>
          <w:sz w:val="44"/>
          <w:szCs w:val="44"/>
        </w:rPr>
        <w:t>表</w:t>
      </w:r>
    </w:p>
    <w:tbl>
      <w:tblPr>
        <w:tblStyle w:val="8"/>
        <w:tblW w:w="149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15"/>
        <w:gridCol w:w="1559"/>
        <w:gridCol w:w="992"/>
        <w:gridCol w:w="10064"/>
        <w:gridCol w:w="97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tblHeader/>
          <w:jc w:val="center"/>
        </w:trPr>
        <w:tc>
          <w:tcPr>
            <w:tcW w:w="2874" w:type="dxa"/>
            <w:gridSpan w:val="2"/>
            <w:noWrap w:val="0"/>
            <w:vAlign w:val="center"/>
          </w:tcPr>
          <w:p>
            <w:pPr>
              <w:widowControl/>
              <w:jc w:val="center"/>
              <w:rPr>
                <w:rFonts w:ascii="宋体" w:hAnsi="宋体" w:cs="黑体"/>
                <w:kern w:val="0"/>
              </w:rPr>
            </w:pPr>
            <w:r>
              <w:rPr>
                <w:rFonts w:hint="eastAsia" w:ascii="宋体" w:hAnsi="宋体" w:cs="黑体"/>
                <w:kern w:val="0"/>
              </w:rPr>
              <w:t>评审项目分值</w:t>
            </w:r>
          </w:p>
        </w:tc>
        <w:tc>
          <w:tcPr>
            <w:tcW w:w="992" w:type="dxa"/>
            <w:noWrap w:val="0"/>
            <w:vAlign w:val="center"/>
          </w:tcPr>
          <w:p>
            <w:pPr>
              <w:widowControl/>
              <w:jc w:val="center"/>
              <w:rPr>
                <w:rFonts w:ascii="宋体" w:hAnsi="宋体" w:cs="黑体"/>
                <w:kern w:val="0"/>
              </w:rPr>
            </w:pPr>
            <w:r>
              <w:rPr>
                <w:rFonts w:hint="eastAsia" w:ascii="宋体" w:hAnsi="宋体" w:cs="黑体"/>
                <w:kern w:val="0"/>
              </w:rPr>
              <w:t>分值</w:t>
            </w:r>
          </w:p>
        </w:tc>
        <w:tc>
          <w:tcPr>
            <w:tcW w:w="10064" w:type="dxa"/>
            <w:noWrap w:val="0"/>
            <w:vAlign w:val="center"/>
          </w:tcPr>
          <w:p>
            <w:pPr>
              <w:widowControl/>
              <w:jc w:val="center"/>
              <w:rPr>
                <w:rFonts w:ascii="宋体" w:hAnsi="宋体" w:cs="黑体"/>
                <w:kern w:val="0"/>
              </w:rPr>
            </w:pPr>
            <w:r>
              <w:rPr>
                <w:rFonts w:hint="eastAsia" w:ascii="宋体" w:hAnsi="宋体" w:cs="黑体"/>
                <w:kern w:val="0"/>
              </w:rPr>
              <w:t>评审标准分值</w:t>
            </w:r>
          </w:p>
        </w:tc>
        <w:tc>
          <w:tcPr>
            <w:tcW w:w="978" w:type="dxa"/>
            <w:noWrap w:val="0"/>
            <w:vAlign w:val="center"/>
          </w:tcPr>
          <w:p>
            <w:pPr>
              <w:widowControl/>
              <w:jc w:val="center"/>
              <w:rPr>
                <w:rFonts w:ascii="宋体" w:hAnsi="宋体" w:cs="黑体"/>
                <w:kern w:val="0"/>
              </w:rPr>
            </w:pPr>
            <w:r>
              <w:rPr>
                <w:rFonts w:hint="eastAsia" w:ascii="宋体" w:hAnsi="宋体" w:cs="黑体"/>
                <w:kern w:val="0"/>
              </w:rPr>
              <w:t>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jc w:val="center"/>
        </w:trPr>
        <w:tc>
          <w:tcPr>
            <w:tcW w:w="2874" w:type="dxa"/>
            <w:gridSpan w:val="2"/>
            <w:noWrap w:val="0"/>
            <w:vAlign w:val="center"/>
          </w:tcPr>
          <w:p>
            <w:pPr>
              <w:widowControl/>
              <w:jc w:val="center"/>
              <w:rPr>
                <w:rFonts w:ascii="宋体" w:hAnsi="宋体"/>
                <w:kern w:val="0"/>
              </w:rPr>
            </w:pPr>
            <w:r>
              <w:rPr>
                <w:rFonts w:ascii="宋体" w:hAnsi="宋体"/>
                <w:kern w:val="0"/>
              </w:rPr>
              <w:t>投标报价</w:t>
            </w:r>
          </w:p>
          <w:p>
            <w:pPr>
              <w:widowControl/>
              <w:jc w:val="center"/>
              <w:rPr>
                <w:rFonts w:ascii="宋体" w:hAnsi="宋体"/>
                <w:kern w:val="0"/>
              </w:rPr>
            </w:pPr>
            <w:r>
              <w:rPr>
                <w:rFonts w:ascii="宋体" w:hAnsi="宋体"/>
                <w:kern w:val="0"/>
              </w:rPr>
              <w:t>（权重</w:t>
            </w:r>
            <w:r>
              <w:rPr>
                <w:rFonts w:hint="eastAsia" w:ascii="宋体" w:hAnsi="宋体"/>
                <w:kern w:val="0"/>
              </w:rPr>
              <w:t>1</w:t>
            </w:r>
            <w:r>
              <w:rPr>
                <w:rFonts w:hint="eastAsia" w:ascii="宋体" w:hAnsi="宋体"/>
                <w:kern w:val="0"/>
                <w:lang w:val="en-US" w:eastAsia="zh-CN"/>
              </w:rPr>
              <w:t>5</w:t>
            </w:r>
            <w:r>
              <w:rPr>
                <w:rFonts w:ascii="宋体" w:hAnsi="宋体"/>
                <w:kern w:val="0"/>
              </w:rPr>
              <w:t>%）</w:t>
            </w:r>
          </w:p>
        </w:tc>
        <w:tc>
          <w:tcPr>
            <w:tcW w:w="992"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15</w:t>
            </w:r>
          </w:p>
        </w:tc>
        <w:tc>
          <w:tcPr>
            <w:tcW w:w="10064" w:type="dxa"/>
            <w:noWrap w:val="0"/>
            <w:vAlign w:val="center"/>
          </w:tcPr>
          <w:p>
            <w:pPr>
              <w:widowControl/>
              <w:jc w:val="left"/>
              <w:rPr>
                <w:rFonts w:hint="eastAsia" w:ascii="宋体" w:hAnsi="宋体" w:eastAsia="宋体"/>
                <w:kern w:val="0"/>
                <w:lang w:val="en-US" w:eastAsia="zh-CN"/>
              </w:rPr>
            </w:pPr>
            <w:r>
              <w:rPr>
                <w:rFonts w:ascii="宋体" w:hAnsi="宋体"/>
                <w:kern w:val="0"/>
              </w:rPr>
              <w:t>以所有合格供应商评标价的最低价作为评分基准价。供应商的价格分按下式计算：价格分=（评分基准价/评标价）×</w:t>
            </w:r>
            <w:r>
              <w:rPr>
                <w:rFonts w:hint="eastAsia" w:ascii="宋体" w:hAnsi="宋体"/>
                <w:kern w:val="0"/>
              </w:rPr>
              <w:t>1</w:t>
            </w:r>
            <w:r>
              <w:rPr>
                <w:rFonts w:hint="eastAsia" w:ascii="宋体" w:hAnsi="宋体"/>
                <w:kern w:val="0"/>
                <w:lang w:val="en-US" w:eastAsia="zh-CN"/>
              </w:rPr>
              <w:t>5</w:t>
            </w:r>
          </w:p>
        </w:tc>
        <w:tc>
          <w:tcPr>
            <w:tcW w:w="978" w:type="dxa"/>
            <w:noWrap w:val="0"/>
            <w:vAlign w:val="center"/>
          </w:tcPr>
          <w:p>
            <w:pPr>
              <w:widowControl/>
              <w:jc w:val="center"/>
              <w:rPr>
                <w:rFonts w:ascii="宋体" w:hAnsi="宋体"/>
                <w:kern w:val="0"/>
              </w:rPr>
            </w:pPr>
          </w:p>
          <w:p>
            <w:pPr>
              <w:widowControl/>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技术部分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50</w:t>
            </w:r>
            <w:r>
              <w:rPr>
                <w:rFonts w:ascii="宋体" w:hAnsi="宋体"/>
                <w:kern w:val="0"/>
              </w:rPr>
              <w:t>%）</w:t>
            </w:r>
          </w:p>
        </w:tc>
        <w:tc>
          <w:tcPr>
            <w:tcW w:w="1559" w:type="dxa"/>
            <w:noWrap w:val="0"/>
            <w:vAlign w:val="center"/>
          </w:tcPr>
          <w:p>
            <w:pPr>
              <w:jc w:val="center"/>
              <w:rPr>
                <w:rFonts w:ascii="宋体" w:hAnsi="宋体"/>
                <w:kern w:val="0"/>
              </w:rPr>
            </w:pPr>
            <w:r>
              <w:rPr>
                <w:rFonts w:ascii="宋体" w:hAnsi="宋体"/>
                <w:kern w:val="0"/>
              </w:rPr>
              <w:t>对本项目总体理解</w:t>
            </w:r>
          </w:p>
        </w:tc>
        <w:tc>
          <w:tcPr>
            <w:tcW w:w="992" w:type="dxa"/>
            <w:noWrap w:val="0"/>
            <w:vAlign w:val="center"/>
          </w:tcPr>
          <w:p>
            <w:pPr>
              <w:widowControl/>
              <w:jc w:val="center"/>
              <w:rPr>
                <w:rFonts w:ascii="宋体" w:hAnsi="宋体"/>
                <w:kern w:val="0"/>
              </w:rPr>
            </w:pPr>
            <w:r>
              <w:rPr>
                <w:rFonts w:hint="eastAsia" w:ascii="宋体" w:hAnsi="宋体"/>
                <w:kern w:val="0"/>
              </w:rPr>
              <w:t>10</w:t>
            </w:r>
          </w:p>
        </w:tc>
        <w:tc>
          <w:tcPr>
            <w:tcW w:w="10064" w:type="dxa"/>
            <w:noWrap w:val="0"/>
            <w:vAlign w:val="center"/>
          </w:tcPr>
          <w:p>
            <w:pPr>
              <w:widowControl/>
              <w:jc w:val="left"/>
              <w:rPr>
                <w:rFonts w:hint="eastAsia" w:ascii="宋体" w:hAnsi="宋体" w:eastAsia="宋体"/>
                <w:kern w:val="0"/>
                <w:lang w:eastAsia="zh-CN"/>
              </w:rPr>
            </w:pPr>
            <w:r>
              <w:rPr>
                <w:rFonts w:ascii="宋体" w:hAnsi="宋体"/>
                <w:kern w:val="0"/>
              </w:rPr>
              <w:t>根据供应商对项目的认识及理解、对项目重点、难点分析把握，进行综合比较。优</w:t>
            </w:r>
            <w:r>
              <w:rPr>
                <w:rFonts w:hint="eastAsia" w:ascii="宋体" w:hAnsi="宋体"/>
                <w:kern w:val="0"/>
              </w:rPr>
              <w:t>10</w:t>
            </w:r>
            <w:r>
              <w:rPr>
                <w:rFonts w:ascii="宋体" w:hAnsi="宋体"/>
                <w:kern w:val="0"/>
              </w:rPr>
              <w:t>分，良</w:t>
            </w:r>
            <w:r>
              <w:rPr>
                <w:rFonts w:hint="eastAsia" w:ascii="宋体" w:hAnsi="宋体"/>
                <w:kern w:val="0"/>
              </w:rPr>
              <w:t>7</w:t>
            </w:r>
            <w:r>
              <w:rPr>
                <w:rFonts w:ascii="宋体" w:hAnsi="宋体"/>
                <w:kern w:val="0"/>
              </w:rPr>
              <w:t>分，一般</w:t>
            </w:r>
            <w:r>
              <w:rPr>
                <w:rFonts w:hint="eastAsia" w:ascii="宋体" w:hAnsi="宋体"/>
                <w:kern w:val="0"/>
              </w:rPr>
              <w:t>5</w:t>
            </w:r>
            <w:r>
              <w:rPr>
                <w:rFonts w:ascii="宋体" w:hAnsi="宋体"/>
                <w:kern w:val="0"/>
              </w:rPr>
              <w:t>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1315" w:type="dxa"/>
            <w:vMerge w:val="continue"/>
            <w:noWrap w:val="0"/>
            <w:vAlign w:val="center"/>
          </w:tcPr>
          <w:p>
            <w:pPr>
              <w:widowControl/>
              <w:jc w:val="center"/>
              <w:rPr>
                <w:rFonts w:ascii="宋体" w:hAnsi="宋体"/>
                <w:kern w:val="0"/>
              </w:rPr>
            </w:pPr>
          </w:p>
        </w:tc>
        <w:tc>
          <w:tcPr>
            <w:tcW w:w="1559" w:type="dxa"/>
            <w:noWrap w:val="0"/>
            <w:vAlign w:val="center"/>
          </w:tcPr>
          <w:p>
            <w:pPr>
              <w:jc w:val="center"/>
              <w:rPr>
                <w:rFonts w:ascii="宋体" w:hAnsi="宋体"/>
                <w:kern w:val="0"/>
              </w:rPr>
            </w:pPr>
            <w:r>
              <w:rPr>
                <w:rFonts w:ascii="宋体" w:hAnsi="宋体"/>
                <w:kern w:val="0"/>
              </w:rPr>
              <w:t>供应商相关资质</w:t>
            </w:r>
          </w:p>
        </w:tc>
        <w:tc>
          <w:tcPr>
            <w:tcW w:w="992"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15</w:t>
            </w:r>
          </w:p>
        </w:tc>
        <w:tc>
          <w:tcPr>
            <w:tcW w:w="10064" w:type="dxa"/>
            <w:noWrap w:val="0"/>
            <w:vAlign w:val="center"/>
          </w:tcPr>
          <w:p>
            <w:pPr>
              <w:widowControl/>
              <w:jc w:val="left"/>
              <w:rPr>
                <w:rFonts w:hint="eastAsia" w:ascii="宋体" w:hAnsi="宋体" w:eastAsia="宋体"/>
                <w:kern w:val="0"/>
                <w:lang w:eastAsia="zh-CN"/>
              </w:rPr>
            </w:pPr>
            <w:r>
              <w:rPr>
                <w:rFonts w:ascii="宋体" w:hAnsi="宋体"/>
                <w:kern w:val="0"/>
              </w:rPr>
              <w:t>根据供应商投入本项目人员</w:t>
            </w:r>
            <w:r>
              <w:rPr>
                <w:rFonts w:hint="eastAsia" w:ascii="宋体" w:hAnsi="宋体"/>
                <w:kern w:val="0"/>
              </w:rPr>
              <w:t>（投入项目的人员人数、</w:t>
            </w:r>
            <w:r>
              <w:rPr>
                <w:rFonts w:hint="eastAsia" w:ascii="宋体" w:hAnsi="宋体"/>
                <w:kern w:val="0"/>
                <w:lang w:eastAsia="zh-CN"/>
              </w:rPr>
              <w:t>从业经历</w:t>
            </w:r>
            <w:r>
              <w:rPr>
                <w:rFonts w:hint="eastAsia" w:ascii="宋体" w:hAnsi="宋体"/>
                <w:kern w:val="0"/>
              </w:rPr>
              <w:t>等）</w:t>
            </w:r>
            <w:r>
              <w:rPr>
                <w:rFonts w:ascii="宋体" w:hAnsi="宋体"/>
                <w:kern w:val="0"/>
              </w:rPr>
              <w:t>等综合比较。</w:t>
            </w:r>
            <w:r>
              <w:rPr>
                <w:rFonts w:hint="eastAsia" w:ascii="宋体" w:hAnsi="宋体"/>
                <w:kern w:val="0"/>
              </w:rPr>
              <w:t>优1</w:t>
            </w:r>
            <w:r>
              <w:rPr>
                <w:rFonts w:hint="eastAsia" w:ascii="宋体" w:hAnsi="宋体"/>
                <w:kern w:val="0"/>
                <w:lang w:val="en-US" w:eastAsia="zh-CN"/>
              </w:rPr>
              <w:t>5</w:t>
            </w:r>
            <w:r>
              <w:rPr>
                <w:rFonts w:hint="eastAsia" w:ascii="宋体" w:hAnsi="宋体"/>
                <w:kern w:val="0"/>
              </w:rPr>
              <w:t>分，良</w:t>
            </w:r>
            <w:r>
              <w:rPr>
                <w:rFonts w:hint="eastAsia" w:ascii="宋体" w:hAnsi="宋体"/>
                <w:kern w:val="0"/>
                <w:lang w:val="en-US" w:eastAsia="zh-CN"/>
              </w:rPr>
              <w:t>10</w:t>
            </w:r>
            <w:r>
              <w:rPr>
                <w:rFonts w:hint="eastAsia" w:ascii="宋体" w:hAnsi="宋体"/>
                <w:kern w:val="0"/>
              </w:rPr>
              <w:t>分，一般</w:t>
            </w:r>
            <w:r>
              <w:rPr>
                <w:rFonts w:hint="eastAsia" w:ascii="宋体" w:hAnsi="宋体"/>
                <w:kern w:val="0"/>
                <w:lang w:val="en-US" w:eastAsia="zh-CN"/>
              </w:rPr>
              <w:t>6</w:t>
            </w:r>
            <w:r>
              <w:rPr>
                <w:rFonts w:hint="eastAsia" w:ascii="宋体" w:hAnsi="宋体"/>
                <w:kern w:val="0"/>
              </w:rPr>
              <w:t>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3" w:hRule="atLeast"/>
          <w:jc w:val="center"/>
        </w:trPr>
        <w:tc>
          <w:tcPr>
            <w:tcW w:w="1315" w:type="dxa"/>
            <w:vMerge w:val="continue"/>
            <w:noWrap w:val="0"/>
            <w:vAlign w:val="center"/>
          </w:tcPr>
          <w:p>
            <w:pPr>
              <w:widowControl/>
              <w:jc w:val="center"/>
              <w:rPr>
                <w:rFonts w:ascii="宋体" w:hAnsi="宋体"/>
                <w:kern w:val="0"/>
              </w:rPr>
            </w:pPr>
          </w:p>
        </w:tc>
        <w:tc>
          <w:tcPr>
            <w:tcW w:w="1559" w:type="dxa"/>
            <w:noWrap w:val="0"/>
            <w:vAlign w:val="center"/>
          </w:tcPr>
          <w:p>
            <w:pPr>
              <w:jc w:val="center"/>
              <w:rPr>
                <w:rFonts w:ascii="宋体" w:hAnsi="宋体"/>
                <w:kern w:val="0"/>
              </w:rPr>
            </w:pPr>
            <w:r>
              <w:rPr>
                <w:rFonts w:ascii="宋体" w:hAnsi="宋体"/>
                <w:kern w:val="0"/>
              </w:rPr>
              <w:t>服务方案</w:t>
            </w:r>
          </w:p>
        </w:tc>
        <w:tc>
          <w:tcPr>
            <w:tcW w:w="992" w:type="dxa"/>
            <w:noWrap w:val="0"/>
            <w:vAlign w:val="center"/>
          </w:tcPr>
          <w:p>
            <w:pPr>
              <w:widowControl/>
              <w:jc w:val="center"/>
              <w:rPr>
                <w:rFonts w:hint="eastAsia" w:ascii="宋体" w:hAnsi="宋体" w:eastAsia="宋体"/>
                <w:kern w:val="0"/>
                <w:lang w:val="en-US" w:eastAsia="zh-CN"/>
              </w:rPr>
            </w:pPr>
            <w:r>
              <w:rPr>
                <w:rFonts w:hint="default" w:ascii="宋体" w:hAnsi="宋体"/>
                <w:kern w:val="0"/>
                <w:lang w:val="en-US"/>
              </w:rPr>
              <w:t>1</w:t>
            </w:r>
            <w:r>
              <w:rPr>
                <w:rFonts w:hint="eastAsia" w:ascii="宋体" w:hAnsi="宋体"/>
                <w:kern w:val="0"/>
                <w:lang w:val="en-US" w:eastAsia="zh-CN"/>
              </w:rPr>
              <w:t>5</w:t>
            </w:r>
          </w:p>
        </w:tc>
        <w:tc>
          <w:tcPr>
            <w:tcW w:w="10064" w:type="dxa"/>
            <w:noWrap w:val="0"/>
            <w:vAlign w:val="center"/>
          </w:tcPr>
          <w:p>
            <w:pPr>
              <w:widowControl/>
              <w:jc w:val="left"/>
              <w:rPr>
                <w:rFonts w:hint="eastAsia" w:ascii="宋体" w:hAnsi="宋体" w:eastAsia="宋体"/>
                <w:kern w:val="0"/>
                <w:lang w:eastAsia="zh-CN"/>
              </w:rPr>
            </w:pPr>
            <w:r>
              <w:rPr>
                <w:rFonts w:hint="default" w:ascii="宋体" w:hAnsi="宋体"/>
                <w:color w:val="auto"/>
                <w:kern w:val="0"/>
                <w:lang w:val="en-US"/>
              </w:rPr>
              <w:t>服务方案应从方案的合理性、工期安排的可操作性、实施组织的科学性、验收的规范性等方面进行设计，方案须符合本项目实际需求，措施完善，合理可行，按方案完善度进行评分</w:t>
            </w:r>
            <w:r>
              <w:rPr>
                <w:rFonts w:ascii="宋体" w:hAnsi="宋体"/>
                <w:kern w:val="0"/>
              </w:rPr>
              <w:t>。优</w:t>
            </w:r>
            <w:r>
              <w:rPr>
                <w:rFonts w:hint="default" w:ascii="宋体" w:hAnsi="宋体"/>
                <w:kern w:val="0"/>
                <w:lang w:val="en-US"/>
              </w:rPr>
              <w:t>1</w:t>
            </w:r>
            <w:r>
              <w:rPr>
                <w:rFonts w:hint="eastAsia" w:ascii="宋体" w:hAnsi="宋体"/>
                <w:kern w:val="0"/>
                <w:lang w:val="en-US" w:eastAsia="zh-CN"/>
              </w:rPr>
              <w:t>5</w:t>
            </w:r>
            <w:r>
              <w:rPr>
                <w:rFonts w:ascii="宋体" w:hAnsi="宋体"/>
                <w:kern w:val="0"/>
              </w:rPr>
              <w:t>分，良</w:t>
            </w:r>
            <w:r>
              <w:rPr>
                <w:rFonts w:hint="eastAsia" w:ascii="宋体" w:hAnsi="宋体"/>
                <w:kern w:val="0"/>
                <w:lang w:val="en-US" w:eastAsia="zh-CN"/>
              </w:rPr>
              <w:t>10</w:t>
            </w:r>
            <w:r>
              <w:rPr>
                <w:rFonts w:ascii="宋体" w:hAnsi="宋体"/>
                <w:kern w:val="0"/>
              </w:rPr>
              <w:t>分，一般</w:t>
            </w:r>
            <w:r>
              <w:rPr>
                <w:rFonts w:hint="eastAsia" w:ascii="宋体" w:hAnsi="宋体"/>
                <w:kern w:val="0"/>
                <w:lang w:val="en-US" w:eastAsia="zh-CN"/>
              </w:rPr>
              <w:t>7</w:t>
            </w:r>
            <w:r>
              <w:rPr>
                <w:rFonts w:ascii="宋体" w:hAnsi="宋体"/>
                <w:kern w:val="0"/>
              </w:rPr>
              <w:t>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315" w:type="dxa"/>
            <w:vMerge w:val="continue"/>
            <w:noWrap w:val="0"/>
            <w:vAlign w:val="center"/>
          </w:tcPr>
          <w:p>
            <w:pPr>
              <w:widowControl/>
              <w:jc w:val="center"/>
              <w:rPr>
                <w:rFonts w:ascii="宋体" w:hAnsi="宋体"/>
                <w:kern w:val="0"/>
              </w:rPr>
            </w:pPr>
          </w:p>
        </w:tc>
        <w:tc>
          <w:tcPr>
            <w:tcW w:w="1559" w:type="dxa"/>
            <w:noWrap w:val="0"/>
            <w:vAlign w:val="center"/>
          </w:tcPr>
          <w:p>
            <w:pPr>
              <w:jc w:val="center"/>
              <w:rPr>
                <w:rFonts w:ascii="宋体" w:hAnsi="宋体"/>
                <w:kern w:val="0"/>
              </w:rPr>
            </w:pPr>
            <w:r>
              <w:rPr>
                <w:rFonts w:hint="eastAsia" w:ascii="宋体" w:hAnsi="宋体"/>
                <w:kern w:val="0"/>
              </w:rPr>
              <w:t>快速响应</w:t>
            </w:r>
          </w:p>
        </w:tc>
        <w:tc>
          <w:tcPr>
            <w:tcW w:w="992"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10</w:t>
            </w:r>
          </w:p>
        </w:tc>
        <w:tc>
          <w:tcPr>
            <w:tcW w:w="10064" w:type="dxa"/>
            <w:noWrap w:val="0"/>
            <w:vAlign w:val="center"/>
          </w:tcPr>
          <w:p>
            <w:pPr>
              <w:widowControl/>
              <w:jc w:val="left"/>
              <w:rPr>
                <w:rFonts w:hint="eastAsia" w:ascii="宋体" w:hAnsi="宋体" w:eastAsia="宋体"/>
                <w:kern w:val="0"/>
                <w:lang w:eastAsia="zh-CN"/>
              </w:rPr>
            </w:pPr>
            <w:r>
              <w:rPr>
                <w:rFonts w:hint="eastAsia" w:ascii="宋体" w:hAnsi="宋体" w:cs="宋体"/>
                <w:kern w:val="0"/>
              </w:rPr>
              <w:t>根据供应商提供设计的保护流程是否能针对我局提出项目需求，作出快速响应。</w:t>
            </w:r>
            <w:r>
              <w:rPr>
                <w:rFonts w:ascii="宋体" w:hAnsi="宋体"/>
                <w:kern w:val="0"/>
              </w:rPr>
              <w:t>优</w:t>
            </w:r>
            <w:r>
              <w:rPr>
                <w:rFonts w:hint="eastAsia" w:ascii="宋体" w:hAnsi="宋体"/>
                <w:kern w:val="0"/>
                <w:lang w:val="en-US" w:eastAsia="zh-CN"/>
              </w:rPr>
              <w:t>10</w:t>
            </w:r>
            <w:r>
              <w:rPr>
                <w:rFonts w:ascii="宋体" w:hAnsi="宋体"/>
                <w:kern w:val="0"/>
              </w:rPr>
              <w:t>分，良</w:t>
            </w:r>
            <w:r>
              <w:rPr>
                <w:rFonts w:hint="eastAsia" w:ascii="宋体" w:hAnsi="宋体"/>
                <w:kern w:val="0"/>
                <w:lang w:val="en-US" w:eastAsia="zh-CN"/>
              </w:rPr>
              <w:t>7</w:t>
            </w:r>
            <w:r>
              <w:rPr>
                <w:rFonts w:ascii="宋体" w:hAnsi="宋体"/>
                <w:kern w:val="0"/>
              </w:rPr>
              <w:t>分，一般</w:t>
            </w:r>
            <w:r>
              <w:rPr>
                <w:rFonts w:hint="eastAsia" w:ascii="宋体" w:hAnsi="宋体"/>
                <w:kern w:val="0"/>
                <w:lang w:val="en-US" w:eastAsia="zh-CN"/>
              </w:rPr>
              <w:t>5</w:t>
            </w:r>
            <w:r>
              <w:rPr>
                <w:rFonts w:ascii="宋体" w:hAnsi="宋体"/>
                <w:kern w:val="0"/>
              </w:rPr>
              <w:t>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商务部分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35</w:t>
            </w:r>
            <w:r>
              <w:rPr>
                <w:rFonts w:ascii="宋体" w:hAnsi="宋体"/>
                <w:kern w:val="0"/>
              </w:rPr>
              <w:t>%）</w:t>
            </w:r>
          </w:p>
        </w:tc>
        <w:tc>
          <w:tcPr>
            <w:tcW w:w="1559" w:type="dxa"/>
            <w:noWrap w:val="0"/>
            <w:vAlign w:val="center"/>
          </w:tcPr>
          <w:p>
            <w:pPr>
              <w:jc w:val="center"/>
              <w:rPr>
                <w:rFonts w:ascii="宋体" w:hAnsi="宋体"/>
                <w:kern w:val="0"/>
              </w:rPr>
            </w:pPr>
            <w:r>
              <w:rPr>
                <w:rFonts w:ascii="宋体" w:hAnsi="宋体"/>
                <w:kern w:val="0"/>
              </w:rPr>
              <w:t>标书质量</w:t>
            </w:r>
          </w:p>
        </w:tc>
        <w:tc>
          <w:tcPr>
            <w:tcW w:w="992"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3</w:t>
            </w:r>
          </w:p>
        </w:tc>
        <w:tc>
          <w:tcPr>
            <w:tcW w:w="10064" w:type="dxa"/>
            <w:noWrap w:val="0"/>
            <w:vAlign w:val="center"/>
          </w:tcPr>
          <w:p>
            <w:pPr>
              <w:widowControl/>
              <w:jc w:val="left"/>
              <w:rPr>
                <w:rFonts w:ascii="宋体" w:hAnsi="宋体"/>
                <w:kern w:val="0"/>
              </w:rPr>
            </w:pPr>
            <w:r>
              <w:rPr>
                <w:rFonts w:ascii="宋体" w:hAnsi="宋体"/>
                <w:kern w:val="0"/>
              </w:rPr>
              <w:t>根据投标文件内容</w:t>
            </w:r>
            <w:r>
              <w:rPr>
                <w:rFonts w:hint="eastAsia" w:ascii="宋体" w:hAnsi="宋体"/>
                <w:kern w:val="0"/>
                <w:lang w:eastAsia="zh-CN"/>
              </w:rPr>
              <w:t>真实性、</w:t>
            </w:r>
            <w:r>
              <w:rPr>
                <w:rFonts w:ascii="宋体" w:hAnsi="宋体"/>
                <w:kern w:val="0"/>
              </w:rPr>
              <w:t>完整性，是否有目录，佐证材料是否有效充分等综合评定。优3分，良2分，一般1分。</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4" w:hRule="atLeast"/>
          <w:jc w:val="center"/>
        </w:trPr>
        <w:tc>
          <w:tcPr>
            <w:tcW w:w="1315" w:type="dxa"/>
            <w:vMerge w:val="continue"/>
            <w:noWrap w:val="0"/>
            <w:vAlign w:val="center"/>
          </w:tcPr>
          <w:p>
            <w:pPr>
              <w:widowControl/>
              <w:jc w:val="center"/>
              <w:rPr>
                <w:rFonts w:ascii="宋体" w:hAnsi="宋体"/>
                <w:kern w:val="0"/>
              </w:rPr>
            </w:pPr>
          </w:p>
        </w:tc>
        <w:tc>
          <w:tcPr>
            <w:tcW w:w="1559" w:type="dxa"/>
            <w:noWrap w:val="0"/>
            <w:vAlign w:val="center"/>
          </w:tcPr>
          <w:p>
            <w:pPr>
              <w:jc w:val="center"/>
              <w:rPr>
                <w:rFonts w:ascii="宋体" w:hAnsi="宋体"/>
                <w:kern w:val="0"/>
              </w:rPr>
            </w:pPr>
            <w:r>
              <w:rPr>
                <w:rFonts w:ascii="宋体" w:hAnsi="宋体"/>
                <w:kern w:val="0"/>
              </w:rPr>
              <w:t>同类业绩</w:t>
            </w:r>
          </w:p>
        </w:tc>
        <w:tc>
          <w:tcPr>
            <w:tcW w:w="992"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9</w:t>
            </w:r>
          </w:p>
        </w:tc>
        <w:tc>
          <w:tcPr>
            <w:tcW w:w="10064" w:type="dxa"/>
            <w:noWrap w:val="0"/>
            <w:vAlign w:val="center"/>
          </w:tcPr>
          <w:p>
            <w:pPr>
              <w:widowControl/>
              <w:jc w:val="left"/>
              <w:rPr>
                <w:rFonts w:ascii="宋体" w:hAnsi="宋体"/>
                <w:kern w:val="0"/>
              </w:rPr>
            </w:pPr>
            <w:r>
              <w:rPr>
                <w:rFonts w:hint="eastAsia" w:ascii="宋体" w:hAnsi="宋体"/>
                <w:kern w:val="0"/>
              </w:rPr>
              <w:t>供应商具有承办过同类知识产权执法保护项目</w:t>
            </w:r>
            <w:r>
              <w:rPr>
                <w:rFonts w:hint="eastAsia" w:ascii="宋体" w:hAnsi="宋体"/>
                <w:kern w:val="0"/>
                <w:lang w:eastAsia="zh-CN"/>
              </w:rPr>
              <w:t>服务经验的</w:t>
            </w:r>
            <w:r>
              <w:rPr>
                <w:rFonts w:hint="eastAsia" w:ascii="宋体" w:hAnsi="宋体"/>
                <w:kern w:val="0"/>
              </w:rPr>
              <w:t>，每提供一次得3分，最高9分。</w:t>
            </w:r>
            <w:r>
              <w:rPr>
                <w:rFonts w:ascii="宋体" w:hAnsi="宋体"/>
                <w:kern w:val="0"/>
              </w:rPr>
              <w:t>须提供业绩列表及合同或中标通知书或成交通知书等复印件，不提供不得分。</w:t>
            </w:r>
          </w:p>
        </w:tc>
        <w:tc>
          <w:tcPr>
            <w:tcW w:w="978" w:type="dxa"/>
            <w:noWrap w:val="0"/>
            <w:vAlign w:val="center"/>
          </w:tcPr>
          <w:p>
            <w:pPr>
              <w:jc w:val="center"/>
              <w:rPr>
                <w:rFonts w:ascii="宋体" w:hAnsi="宋体"/>
                <w:kern w:val="0"/>
              </w:rPr>
            </w:pPr>
          </w:p>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78" w:hRule="atLeast"/>
          <w:jc w:val="center"/>
        </w:trPr>
        <w:tc>
          <w:tcPr>
            <w:tcW w:w="1315" w:type="dxa"/>
            <w:vMerge w:val="continue"/>
            <w:noWrap w:val="0"/>
            <w:vAlign w:val="center"/>
          </w:tcPr>
          <w:p>
            <w:pPr>
              <w:widowControl/>
              <w:jc w:val="center"/>
              <w:rPr>
                <w:rFonts w:ascii="宋体" w:hAnsi="宋体"/>
                <w:kern w:val="0"/>
              </w:rPr>
            </w:pPr>
          </w:p>
        </w:tc>
        <w:tc>
          <w:tcPr>
            <w:tcW w:w="1559" w:type="dxa"/>
            <w:noWrap w:val="0"/>
            <w:vAlign w:val="center"/>
          </w:tcPr>
          <w:p>
            <w:pPr>
              <w:jc w:val="center"/>
              <w:rPr>
                <w:rFonts w:ascii="宋体" w:hAnsi="宋体"/>
                <w:kern w:val="0"/>
              </w:rPr>
            </w:pPr>
            <w:r>
              <w:rPr>
                <w:rFonts w:ascii="宋体" w:hAnsi="宋体"/>
                <w:kern w:val="0"/>
              </w:rPr>
              <w:t>服务承诺</w:t>
            </w:r>
          </w:p>
        </w:tc>
        <w:tc>
          <w:tcPr>
            <w:tcW w:w="992" w:type="dxa"/>
            <w:noWrap w:val="0"/>
            <w:vAlign w:val="center"/>
          </w:tcPr>
          <w:p>
            <w:pPr>
              <w:widowControl/>
              <w:jc w:val="center"/>
              <w:rPr>
                <w:rFonts w:hint="eastAsia" w:ascii="宋体" w:hAnsi="宋体" w:eastAsia="宋体"/>
                <w:kern w:val="0"/>
                <w:lang w:val="en-US" w:eastAsia="zh-CN"/>
              </w:rPr>
            </w:pPr>
            <w:r>
              <w:rPr>
                <w:rFonts w:ascii="宋体" w:hAnsi="宋体"/>
                <w:kern w:val="0"/>
              </w:rPr>
              <w:t>1</w:t>
            </w:r>
            <w:r>
              <w:rPr>
                <w:rFonts w:hint="eastAsia" w:ascii="宋体" w:hAnsi="宋体"/>
                <w:kern w:val="0"/>
                <w:lang w:val="en-US" w:eastAsia="zh-CN"/>
              </w:rPr>
              <w:t>2</w:t>
            </w:r>
          </w:p>
        </w:tc>
        <w:tc>
          <w:tcPr>
            <w:tcW w:w="10064" w:type="dxa"/>
            <w:noWrap w:val="0"/>
            <w:vAlign w:val="center"/>
          </w:tcPr>
          <w:p>
            <w:pPr>
              <w:widowControl/>
              <w:jc w:val="left"/>
              <w:rPr>
                <w:rFonts w:hint="eastAsia" w:ascii="宋体" w:hAnsi="宋体" w:eastAsia="宋体"/>
                <w:kern w:val="0"/>
                <w:lang w:eastAsia="zh-CN"/>
              </w:rPr>
            </w:pPr>
            <w:r>
              <w:rPr>
                <w:rFonts w:ascii="宋体" w:hAnsi="宋体"/>
                <w:kern w:val="0"/>
              </w:rPr>
              <w:t>根据供应商对本项目的服务承诺，保证措施</w:t>
            </w:r>
            <w:r>
              <w:rPr>
                <w:rFonts w:hint="eastAsia" w:ascii="宋体" w:hAnsi="宋体"/>
                <w:kern w:val="0"/>
              </w:rPr>
              <w:t>，预计完成日期</w:t>
            </w:r>
            <w:r>
              <w:rPr>
                <w:rFonts w:ascii="宋体" w:hAnsi="宋体"/>
                <w:kern w:val="0"/>
              </w:rPr>
              <w:t>等进行综合比较。优1</w:t>
            </w:r>
            <w:r>
              <w:rPr>
                <w:rFonts w:hint="eastAsia" w:ascii="宋体" w:hAnsi="宋体"/>
                <w:kern w:val="0"/>
                <w:lang w:val="en-US" w:eastAsia="zh-CN"/>
              </w:rPr>
              <w:t>1</w:t>
            </w:r>
            <w:r>
              <w:rPr>
                <w:rFonts w:ascii="宋体" w:hAnsi="宋体"/>
                <w:kern w:val="0"/>
              </w:rPr>
              <w:t>分，良7分，一般</w:t>
            </w:r>
            <w:r>
              <w:rPr>
                <w:rFonts w:hint="eastAsia" w:ascii="宋体" w:hAnsi="宋体"/>
                <w:kern w:val="0"/>
                <w:lang w:val="en-US" w:eastAsia="zh-CN"/>
              </w:rPr>
              <w:t>5</w:t>
            </w:r>
            <w:r>
              <w:rPr>
                <w:rFonts w:ascii="宋体" w:hAnsi="宋体"/>
                <w:kern w:val="0"/>
              </w:rPr>
              <w:t>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3" w:hRule="atLeast"/>
          <w:jc w:val="center"/>
        </w:trPr>
        <w:tc>
          <w:tcPr>
            <w:tcW w:w="1315" w:type="dxa"/>
            <w:vMerge w:val="continue"/>
            <w:noWrap w:val="0"/>
            <w:vAlign w:val="center"/>
          </w:tcPr>
          <w:p>
            <w:pPr>
              <w:widowControl/>
              <w:jc w:val="center"/>
              <w:rPr>
                <w:rFonts w:ascii="宋体" w:hAnsi="宋体"/>
                <w:kern w:val="0"/>
              </w:rPr>
            </w:pPr>
          </w:p>
        </w:tc>
        <w:tc>
          <w:tcPr>
            <w:tcW w:w="1559" w:type="dxa"/>
            <w:noWrap w:val="0"/>
            <w:vAlign w:val="center"/>
          </w:tcPr>
          <w:p>
            <w:pPr>
              <w:jc w:val="center"/>
              <w:rPr>
                <w:rFonts w:ascii="宋体" w:hAnsi="宋体"/>
                <w:kern w:val="0"/>
              </w:rPr>
            </w:pPr>
            <w:r>
              <w:rPr>
                <w:rFonts w:hint="eastAsia" w:ascii="宋体" w:hAnsi="宋体"/>
                <w:kern w:val="0"/>
              </w:rPr>
              <w:t>保障措施</w:t>
            </w:r>
          </w:p>
        </w:tc>
        <w:tc>
          <w:tcPr>
            <w:tcW w:w="992"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11</w:t>
            </w:r>
          </w:p>
        </w:tc>
        <w:tc>
          <w:tcPr>
            <w:tcW w:w="10064" w:type="dxa"/>
            <w:noWrap w:val="0"/>
            <w:vAlign w:val="center"/>
          </w:tcPr>
          <w:p>
            <w:pPr>
              <w:widowControl/>
              <w:jc w:val="left"/>
              <w:rPr>
                <w:rFonts w:hint="eastAsia" w:ascii="宋体" w:hAnsi="宋体" w:eastAsia="宋体"/>
                <w:kern w:val="0"/>
                <w:lang w:eastAsia="zh-CN"/>
              </w:rPr>
            </w:pPr>
            <w:r>
              <w:rPr>
                <w:rFonts w:hint="eastAsia" w:ascii="宋体" w:hAnsi="宋体"/>
                <w:kern w:val="0"/>
              </w:rPr>
              <w:t>根据供应商制定的项目进度质量保障措施和人员保障措施是否完善周到、可行进行综合比较打分。</w:t>
            </w:r>
            <w:r>
              <w:rPr>
                <w:rFonts w:ascii="宋体" w:hAnsi="宋体"/>
                <w:kern w:val="0"/>
              </w:rPr>
              <w:t>优</w:t>
            </w:r>
            <w:r>
              <w:rPr>
                <w:rFonts w:hint="eastAsia" w:ascii="宋体" w:hAnsi="宋体"/>
                <w:kern w:val="0"/>
                <w:lang w:val="en-US" w:eastAsia="zh-CN"/>
              </w:rPr>
              <w:t>10</w:t>
            </w:r>
            <w:r>
              <w:rPr>
                <w:rFonts w:ascii="宋体" w:hAnsi="宋体"/>
                <w:kern w:val="0"/>
              </w:rPr>
              <w:t>分，良</w:t>
            </w:r>
            <w:r>
              <w:rPr>
                <w:rFonts w:hint="eastAsia" w:ascii="宋体" w:hAnsi="宋体"/>
                <w:kern w:val="0"/>
                <w:lang w:val="en-US" w:eastAsia="zh-CN"/>
              </w:rPr>
              <w:t>7</w:t>
            </w:r>
            <w:r>
              <w:rPr>
                <w:rFonts w:ascii="宋体" w:hAnsi="宋体"/>
                <w:kern w:val="0"/>
              </w:rPr>
              <w:t>分，一般</w:t>
            </w:r>
            <w:r>
              <w:rPr>
                <w:rFonts w:hint="eastAsia" w:ascii="宋体" w:hAnsi="宋体"/>
                <w:kern w:val="0"/>
                <w:lang w:val="en-US" w:eastAsia="zh-CN"/>
              </w:rPr>
              <w:t>5</w:t>
            </w:r>
            <w:r>
              <w:rPr>
                <w:rFonts w:ascii="宋体" w:hAnsi="宋体"/>
                <w:kern w:val="0"/>
              </w:rPr>
              <w:t>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978"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5" w:hRule="atLeast"/>
          <w:jc w:val="center"/>
        </w:trPr>
        <w:tc>
          <w:tcPr>
            <w:tcW w:w="13930" w:type="dxa"/>
            <w:gridSpan w:val="4"/>
            <w:noWrap w:val="0"/>
            <w:vAlign w:val="center"/>
          </w:tcPr>
          <w:p>
            <w:pPr>
              <w:widowControl/>
              <w:jc w:val="center"/>
              <w:rPr>
                <w:rFonts w:ascii="宋体" w:hAnsi="宋体"/>
                <w:color w:val="000000"/>
                <w:kern w:val="0"/>
              </w:rPr>
            </w:pPr>
            <w:r>
              <w:rPr>
                <w:rFonts w:ascii="宋体" w:hAnsi="宋体"/>
                <w:color w:val="000000"/>
                <w:kern w:val="0"/>
              </w:rPr>
              <w:t>合  计</w:t>
            </w:r>
          </w:p>
        </w:tc>
        <w:tc>
          <w:tcPr>
            <w:tcW w:w="978" w:type="dxa"/>
            <w:noWrap w:val="0"/>
            <w:vAlign w:val="center"/>
          </w:tcPr>
          <w:p>
            <w:pPr>
              <w:rPr>
                <w:rFonts w:ascii="宋体" w:hAnsi="宋体"/>
                <w:kern w:val="0"/>
              </w:rPr>
            </w:pPr>
          </w:p>
        </w:tc>
      </w:tr>
    </w:tbl>
    <w:p>
      <w:pPr>
        <w:ind w:firstLine="210" w:firstLineChars="100"/>
        <w:rPr>
          <w:rFonts w:hint="eastAsia"/>
        </w:rPr>
      </w:pPr>
    </w:p>
    <w:p>
      <w:pPr>
        <w:ind w:firstLine="210" w:firstLineChars="100"/>
      </w:pPr>
      <w:r>
        <w:rPr>
          <w:rFonts w:hint="eastAsia"/>
        </w:rPr>
        <w:t>评审人员签名：</w:t>
      </w:r>
    </w:p>
    <w:p/>
    <w:sectPr>
      <w:pgSz w:w="16838" w:h="11906" w:orient="landscape"/>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19.121.241.45/seeyon/officeservlet"/>
  </w:docVars>
  <w:rsids>
    <w:rsidRoot w:val="00EC5CCF"/>
    <w:rsid w:val="000201AB"/>
    <w:rsid w:val="000B7696"/>
    <w:rsid w:val="001B6405"/>
    <w:rsid w:val="00291DF8"/>
    <w:rsid w:val="002D0432"/>
    <w:rsid w:val="00342416"/>
    <w:rsid w:val="005B6FC3"/>
    <w:rsid w:val="006C6C78"/>
    <w:rsid w:val="007A71AF"/>
    <w:rsid w:val="00961FBC"/>
    <w:rsid w:val="009F566A"/>
    <w:rsid w:val="00A24B3D"/>
    <w:rsid w:val="00C860E7"/>
    <w:rsid w:val="00CC7C71"/>
    <w:rsid w:val="00CD4A38"/>
    <w:rsid w:val="00EC5CCF"/>
    <w:rsid w:val="00F85E4E"/>
    <w:rsid w:val="17ED598D"/>
    <w:rsid w:val="2F9F5DA2"/>
    <w:rsid w:val="2FFD654B"/>
    <w:rsid w:val="4BFD3EEA"/>
    <w:rsid w:val="5C5D1CEB"/>
    <w:rsid w:val="5EBC7B6A"/>
    <w:rsid w:val="6B7AF895"/>
    <w:rsid w:val="6D0C3426"/>
    <w:rsid w:val="6EDF4A73"/>
    <w:rsid w:val="74B36585"/>
    <w:rsid w:val="775FFA0F"/>
    <w:rsid w:val="7BEE6F35"/>
    <w:rsid w:val="7F016F21"/>
    <w:rsid w:val="7FBF64A9"/>
    <w:rsid w:val="9ADF8709"/>
    <w:rsid w:val="AFE90DE3"/>
    <w:rsid w:val="B7F7C4E6"/>
    <w:rsid w:val="BEFF187E"/>
    <w:rsid w:val="BFF5923D"/>
    <w:rsid w:val="CFEF87BE"/>
    <w:rsid w:val="F6FFA060"/>
    <w:rsid w:val="F91B0C2B"/>
    <w:rsid w:val="FBEFBB94"/>
    <w:rsid w:val="FEFD9C08"/>
    <w:rsid w:val="FF9BE21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4"/>
    <w:basedOn w:val="1"/>
    <w:next w:val="1"/>
    <w:qFormat/>
    <w:uiPriority w:val="0"/>
    <w:pPr>
      <w:keepNext/>
      <w:keepLines/>
      <w:spacing w:before="280" w:after="290" w:line="372" w:lineRule="auto"/>
      <w:outlineLvl w:val="3"/>
    </w:pPr>
    <w:rPr>
      <w:rFonts w:ascii="Arial" w:hAnsi="Arial" w:eastAsia="黑体" w:cs="Arial"/>
      <w:b/>
      <w:bCs/>
      <w:sz w:val="28"/>
      <w:szCs w:val="28"/>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Body Text"/>
    <w:basedOn w:val="1"/>
    <w:qFormat/>
    <w:uiPriority w:val="0"/>
    <w:pPr>
      <w:spacing w:after="120"/>
    </w:p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w:basedOn w:val="4"/>
    <w:qFormat/>
    <w:uiPriority w:val="0"/>
    <w:pPr>
      <w:spacing w:line="560" w:lineRule="exact"/>
      <w:ind w:firstLine="640" w:firstLineChars="200"/>
    </w:pPr>
  </w:style>
  <w:style w:type="character" w:styleId="10">
    <w:name w:val="Strong"/>
    <w:basedOn w:val="9"/>
    <w:qFormat/>
    <w:uiPriority w:val="22"/>
    <w:rPr>
      <w:b/>
    </w:rPr>
  </w:style>
  <w:style w:type="character" w:customStyle="1" w:styleId="11">
    <w:name w:val="页脚 Char"/>
    <w:link w:val="5"/>
    <w:qFormat/>
    <w:uiPriority w:val="99"/>
    <w:rPr>
      <w:sz w:val="18"/>
      <w:szCs w:val="18"/>
    </w:rPr>
  </w:style>
  <w:style w:type="character" w:customStyle="1" w:styleId="12">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Chinese ORG</Company>
  <Pages>2</Pages>
  <Words>1183</Words>
  <Characters>1203</Characters>
  <Lines>6</Lines>
  <Paragraphs>1</Paragraphs>
  <TotalTime>24</TotalTime>
  <ScaleCrop>false</ScaleCrop>
  <LinksUpToDate>false</LinksUpToDate>
  <CharactersWithSpaces>1206</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2023-02-21T09:47:00Z</dcterms:created>
  <dc:creator>张海盈</dc:creator>
  <cp:lastModifiedBy>greatwall</cp:lastModifiedBy>
  <cp:lastPrinted>2026-05-08T07:57:00Z</cp:lastPrinted>
  <dcterms:modified xsi:type="dcterms:W3CDTF">2026-05-15T18:28:57Z</dcterms:modified>
  <dc:title>附件2</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KSOTemplateDocerSaveRecord">
    <vt:lpwstr>eyJoZGlkIjoiOWQwNmY2ODM3YTNiMjkxOTQyOGUxNTRhMWQyMzg1Y2IiLCJ1c2VySWQiOiI2Nzk4Mzg4MTYifQ==</vt:lpwstr>
  </property>
  <property fmtid="{D5CDD505-2E9C-101B-9397-08002B2CF9AE}" pid="4" name="ICV">
    <vt:lpwstr>D20A2BDE72544854AFFBB9EDFB0440A5_12</vt:lpwstr>
  </property>
</Properties>
</file>