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color w:val="000000"/>
          <w:sz w:val="32"/>
        </w:rPr>
      </w:pPr>
      <w:bookmarkStart w:id="0" w:name="_GoBack"/>
      <w:r>
        <w:rPr>
          <w:rFonts w:ascii="Times New Roman" w:hAnsi="Times New Roman" w:eastAsia="黑体"/>
          <w:color w:val="000000"/>
          <w:sz w:val="32"/>
        </w:rPr>
        <w:t>附件2：</w:t>
      </w:r>
    </w:p>
    <w:p>
      <w:pPr>
        <w:spacing w:line="500" w:lineRule="exact"/>
        <w:jc w:val="center"/>
        <w:rPr>
          <w:rFonts w:ascii="Times New Roman" w:hAnsi="Times New Roman" w:eastAsia="方正小标宋_GBK"/>
          <w:sz w:val="36"/>
        </w:rPr>
      </w:pPr>
      <w:r>
        <w:rPr>
          <w:rFonts w:ascii="Times New Roman" w:hAnsi="Times New Roman" w:eastAsia="方正小标宋_GBK"/>
          <w:sz w:val="36"/>
        </w:rPr>
        <w:t>评分表</w:t>
      </w:r>
    </w:p>
    <w:bookmarkEnd w:id="0"/>
    <w:tbl>
      <w:tblPr>
        <w:tblStyle w:val="3"/>
        <w:tblW w:w="9843" w:type="dxa"/>
        <w:tblInd w:w="-15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145"/>
        <w:gridCol w:w="1255"/>
        <w:gridCol w:w="5918"/>
        <w:gridCol w:w="80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序号</w:t>
            </w:r>
          </w:p>
        </w:tc>
        <w:tc>
          <w:tcPr>
            <w:tcW w:w="114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评审项目</w:t>
            </w:r>
          </w:p>
        </w:tc>
        <w:tc>
          <w:tcPr>
            <w:tcW w:w="12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评审内容</w:t>
            </w:r>
          </w:p>
        </w:tc>
        <w:tc>
          <w:tcPr>
            <w:tcW w:w="5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评审准则</w:t>
            </w:r>
          </w:p>
        </w:tc>
        <w:tc>
          <w:tcPr>
            <w:tcW w:w="80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分值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1</w:t>
            </w:r>
          </w:p>
        </w:tc>
        <w:tc>
          <w:tcPr>
            <w:tcW w:w="1145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服务响应情况评分（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3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0分）</w:t>
            </w:r>
          </w:p>
        </w:tc>
        <w:tc>
          <w:tcPr>
            <w:tcW w:w="12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提供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六五环境日主题宣传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活动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的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策划方案</w:t>
            </w:r>
          </w:p>
        </w:tc>
        <w:tc>
          <w:tcPr>
            <w:tcW w:w="5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（1）对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活动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总体认识十分全面，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策划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方案能充分贴合活动主题理念，对项目建设服务需求把握到位，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提出的宣传推广形式富有创意，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论述完整清晰，得20分；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（2）对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活动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总体认识较为全面，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策划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方案能贴合活动主题理念，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提出的宣传推广形式较好，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对项目建设服务需求把握较为到位，论述比较清晰，得1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5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（3）对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活动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总体认识一般，设计方案基本贴合活动主题理念，对项目建设服务需求把握一般，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提供了宣传推广思路，但形式一般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，得1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0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（4）对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活动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总体认识一般，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策划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方案基本贴合活动主题理念，对项目建设服务需求把握一般，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没有提供宣传推广思路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，得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5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（5）未提供策划方案的，该项不得分。</w:t>
            </w:r>
          </w:p>
        </w:tc>
        <w:tc>
          <w:tcPr>
            <w:tcW w:w="80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3"/>
              </w:rPr>
              <w:t>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3" w:hRule="atLeast"/>
        </w:trPr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2</w:t>
            </w:r>
          </w:p>
        </w:tc>
        <w:tc>
          <w:tcPr>
            <w:tcW w:w="114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</w:p>
        </w:tc>
        <w:tc>
          <w:tcPr>
            <w:tcW w:w="12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微软雅黑"/>
                <w:color w:val="0C0C0C"/>
                <w:kern w:val="0"/>
                <w:sz w:val="23"/>
                <w:lang w:eastAsia="zh-CN"/>
              </w:rPr>
            </w:pP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服务保障措施</w:t>
            </w:r>
          </w:p>
        </w:tc>
        <w:tc>
          <w:tcPr>
            <w:tcW w:w="5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（1）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组织架构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完善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，针对活动实施各环节能够提供十分详细、及时有效的保障措施，对可预见的突发情况配套有应急措施，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10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（2）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组织架构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完善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，针对活动实施各环节能够提供较为详细的保障措施，对可预见的突发情况配套有应急预案，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8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（3）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配有相应的组织架构，有提供活动实施各环节相应的保障措施和应急预案，但描述较为简要，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5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4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）未提供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组织架构情况及服务保障措施的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，该项不得分。</w:t>
            </w:r>
          </w:p>
        </w:tc>
        <w:tc>
          <w:tcPr>
            <w:tcW w:w="80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微软雅黑"/>
                <w:color w:val="0C0C0C"/>
                <w:kern w:val="0"/>
                <w:sz w:val="23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3</w:t>
            </w:r>
          </w:p>
        </w:tc>
        <w:tc>
          <w:tcPr>
            <w:tcW w:w="1145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商务评分（50分）</w:t>
            </w:r>
          </w:p>
        </w:tc>
        <w:tc>
          <w:tcPr>
            <w:tcW w:w="12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执行团队情况</w:t>
            </w:r>
          </w:p>
        </w:tc>
        <w:tc>
          <w:tcPr>
            <w:tcW w:w="5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配备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有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名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专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职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执行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人员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为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本项目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服务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的得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分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，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每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配备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多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名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4分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。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本小项最高得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12分。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在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）提供的人员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中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有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获得摄影师证、广播电视播音员主持人资格证等与项目执行环节相关专业人员的，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1名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分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，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本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小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项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最高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3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（说明：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须提供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相关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人员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开标前三个月内任意一个月的社保证明，社保缴纳单位须与投标主体一致或属其子、母公司；获得相关专业资格证书的人员需提供对应证件的扫描件，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没有提供或提供无效证明材料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的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不得分。）</w:t>
            </w:r>
          </w:p>
        </w:tc>
        <w:tc>
          <w:tcPr>
            <w:tcW w:w="80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微软雅黑"/>
                <w:color w:val="0C0C0C"/>
                <w:kern w:val="0"/>
                <w:sz w:val="23"/>
                <w:lang w:eastAsia="zh-CN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1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</w:p>
        </w:tc>
        <w:tc>
          <w:tcPr>
            <w:tcW w:w="1145" w:type="dxa"/>
            <w:vMerge w:val="continue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</w:p>
        </w:tc>
        <w:tc>
          <w:tcPr>
            <w:tcW w:w="12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宣传渠道资源</w:t>
            </w:r>
          </w:p>
        </w:tc>
        <w:tc>
          <w:tcPr>
            <w:tcW w:w="5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hint="eastAsia" w:ascii="Times New Roman" w:hAnsi="Times New Roman" w:eastAsia="微软雅黑"/>
                <w:b/>
                <w:color w:val="0C0C0C"/>
                <w:kern w:val="0"/>
                <w:sz w:val="20"/>
              </w:rPr>
              <w:t>渠道数量要素评价：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能提供活动所需的宣传发布渠道资源（客户端、微信公众号或微博等），自有宣传渠道每个得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2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分，合作宣传渠道每个得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。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该要素评价项最高得分不超过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hint="eastAsia" w:ascii="Times New Roman" w:hAnsi="Times New Roman" w:eastAsia="微软雅黑"/>
                <w:b/>
                <w:color w:val="0C0C0C"/>
                <w:kern w:val="0"/>
                <w:sz w:val="20"/>
              </w:rPr>
              <w:t>渠道质量要素评价：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提供的渠道粉丝量（或客户端下载量）累计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超过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10万的得3分，超过30万的得6分，超过50万的得8分，超过100万的得12分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（此项数量为所有渠道的合计数，不针对单个渠道分别加分）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。该要素评价项最高得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（说明：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本项总得分=渠道数量要素评价得分+渠道质量要素评价得分。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自有渠道需提供相关认证截图或同一主体证明材料，合作宣传渠道需提供相关授权或合作证明材料。没有提供或提供无效证明材料，该项不得分。）</w:t>
            </w:r>
          </w:p>
        </w:tc>
        <w:tc>
          <w:tcPr>
            <w:tcW w:w="80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4</w:t>
            </w:r>
          </w:p>
        </w:tc>
        <w:tc>
          <w:tcPr>
            <w:tcW w:w="1145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</w:p>
        </w:tc>
        <w:tc>
          <w:tcPr>
            <w:tcW w:w="12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同类项目业绩</w:t>
            </w:r>
          </w:p>
        </w:tc>
        <w:tc>
          <w:tcPr>
            <w:tcW w:w="5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至投标截止日前投标人独立承办的主题宣传活动案例，每个得5分，最高不超过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15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（说明：须提供合同关键页扫描件，相关项目实施效果照片。）</w:t>
            </w:r>
          </w:p>
        </w:tc>
        <w:tc>
          <w:tcPr>
            <w:tcW w:w="80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微软雅黑"/>
                <w:color w:val="0C0C0C"/>
                <w:kern w:val="0"/>
                <w:sz w:val="23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color w:val="0C0C0C"/>
                <w:kern w:val="0"/>
                <w:sz w:val="23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5</w:t>
            </w:r>
          </w:p>
        </w:tc>
        <w:tc>
          <w:tcPr>
            <w:tcW w:w="2400" w:type="dxa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价格评分（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2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0分）</w:t>
            </w:r>
          </w:p>
        </w:tc>
        <w:tc>
          <w:tcPr>
            <w:tcW w:w="591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3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满足招标文件要求且价格最低的投标价为基准价，其价格分为满分。其他投标人的价格分统一按照下列公式计算：价格分=(基准价／投标报价)×价格权值×100[对符合规定的小型和微型企业（监狱企业、残疾人福利单位视同小型、微型企业）报价给予10%的价格扣除。]</w:t>
            </w:r>
          </w:p>
        </w:tc>
        <w:tc>
          <w:tcPr>
            <w:tcW w:w="80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微软雅黑"/>
                <w:color w:val="0C0C0C"/>
                <w:kern w:val="0"/>
                <w:sz w:val="23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20</w:t>
            </w:r>
          </w:p>
        </w:tc>
      </w:tr>
    </w:tbl>
    <w:p>
      <w:pPr>
        <w:spacing w:line="560" w:lineRule="exact"/>
        <w:rPr>
          <w:rFonts w:ascii="Times New Roman" w:hAnsi="Times New Roman" w:eastAsia="黑体"/>
          <w:color w:val="000000"/>
          <w:sz w:val="32"/>
        </w:rPr>
      </w:pPr>
    </w:p>
    <w:p>
      <w:pPr>
        <w:spacing w:line="560" w:lineRule="exact"/>
        <w:rPr>
          <w:rFonts w:ascii="Times New Roman" w:hAnsi="Times New Roman" w:eastAsia="黑体"/>
          <w:color w:val="000000"/>
          <w:sz w:val="32"/>
        </w:rPr>
      </w:pPr>
    </w:p>
    <w:p>
      <w:pPr>
        <w:spacing w:line="560" w:lineRule="exact"/>
        <w:rPr>
          <w:rFonts w:ascii="Times New Roman" w:hAnsi="Times New Roman" w:eastAsia="黑体"/>
          <w:color w:val="000000"/>
          <w:sz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9B3195"/>
    <w:multiLevelType w:val="singleLevel"/>
    <w:tmpl w:val="519B3195"/>
    <w:lvl w:ilvl="0" w:tentative="0">
      <w:start w:val="1"/>
      <w:numFmt w:val="decimal"/>
      <w:suff w:val="space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MGJkZDQ5NDNiZmVjZTdkYjAzYjk5MDFiZjE2ZDAifQ=="/>
  </w:docVars>
  <w:rsids>
    <w:rsidRoot w:val="254E2F3E"/>
    <w:rsid w:val="254E2F3E"/>
    <w:rsid w:val="3B4E7EFB"/>
    <w:rsid w:val="42CD2921"/>
    <w:rsid w:val="51B829DD"/>
    <w:rsid w:val="5D60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autoRedefine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2026-05-15T03:06:00Z</dcterms:created>
  <dc:creator>江晓峰</dc:creator>
  <cp:lastModifiedBy>江晓峰</cp:lastModifiedBy>
  <dcterms:modified xsi:type="dcterms:W3CDTF">2026-05-15T09:47:36Z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5B67E32C18D74287B61DCA512D7EB6D5_13</vt:lpwstr>
  </property>
</Properties>
</file>