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line="600" w:lineRule="exact"/>
        <w:rPr>
          <w:rFonts w:ascii="黑体" w:hAnsi="黑体" w:eastAsia="黑体" w:cs="黑体"/>
          <w:sz w:val="32"/>
          <w:szCs w:val="32"/>
        </w:rPr>
      </w:pPr>
      <w:r>
        <w:rPr>
          <w:rFonts w:hint="eastAsia" w:ascii="黑体" w:hAnsi="黑体" w:eastAsia="黑体" w:cs="黑体"/>
          <w:sz w:val="32"/>
          <w:szCs w:val="32"/>
        </w:rPr>
        <w:t>附件3：合同模板</w:t>
      </w:r>
    </w:p>
    <w:p>
      <w:pPr>
        <w:pStyle w:val="14"/>
        <w:widowControl/>
        <w:spacing w:line="600" w:lineRule="exact"/>
        <w:jc w:val="center"/>
        <w:rPr>
          <w:rFonts w:ascii="方正小标宋简体" w:hAnsi="方正小标宋简体" w:eastAsia="方正小标宋简体" w:cs="方正小标宋简体"/>
          <w:sz w:val="44"/>
          <w:szCs w:val="44"/>
        </w:rPr>
      </w:pP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江门市消费者权益保护委员会202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w:t>
      </w: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放心消费“双承诺”活动</w:t>
      </w: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服务测评项目合同</w:t>
      </w:r>
    </w:p>
    <w:p>
      <w:pPr>
        <w:spacing w:line="480" w:lineRule="exact"/>
        <w:jc w:val="center"/>
        <w:rPr>
          <w:rFonts w:ascii="宋体" w:hAnsi="宋体" w:eastAsia="宋体" w:cs="宋体"/>
          <w:b/>
          <w:sz w:val="32"/>
          <w:szCs w:val="32"/>
          <w:shd w:val="clear" w:color="auto" w:fill="FFFFFF"/>
        </w:rPr>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sz w:val="28"/>
          <w:szCs w:val="28"/>
          <w:u w:val="single"/>
        </w:rPr>
      </w:pPr>
      <w:r>
        <w:rPr>
          <w:rFonts w:hint="eastAsia" w:ascii="仿宋" w:hAnsi="仿宋" w:eastAsia="仿宋" w:cs="仿宋"/>
          <w:sz w:val="28"/>
          <w:szCs w:val="28"/>
        </w:rPr>
        <w:t>地址：</w:t>
      </w:r>
      <w:r>
        <w:rPr>
          <w:rFonts w:ascii="仿宋" w:hAnsi="仿宋" w:eastAsia="仿宋" w:cs="仿宋"/>
          <w:sz w:val="28"/>
          <w:szCs w:val="28"/>
        </w:rPr>
        <w:t xml:space="preserve"> </w:t>
      </w:r>
      <w:r>
        <w:rPr>
          <w:rFonts w:hint="eastAsia" w:ascii="仿宋" w:hAnsi="仿宋" w:eastAsia="仿宋" w:cs="仿宋"/>
          <w:sz w:val="28"/>
          <w:szCs w:val="28"/>
          <w:u w:val="single"/>
        </w:rPr>
        <w:t>江门市蓬江区东华二路</w:t>
      </w:r>
      <w:r>
        <w:rPr>
          <w:rFonts w:ascii="仿宋" w:hAnsi="仿宋" w:eastAsia="仿宋" w:cs="仿宋"/>
          <w:sz w:val="28"/>
          <w:szCs w:val="28"/>
          <w:u w:val="single"/>
        </w:rPr>
        <w:t>7号</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地址：</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sz w:val="28"/>
          <w:szCs w:val="28"/>
          <w:shd w:val="clear" w:color="auto" w:fill="FFFFFF"/>
        </w:rPr>
      </w:pPr>
    </w:p>
    <w:p>
      <w:pPr>
        <w:widowControl/>
        <w:spacing w:line="480" w:lineRule="exact"/>
        <w:ind w:firstLine="618" w:firstLineChars="221"/>
      </w:pPr>
      <w:r>
        <w:rPr>
          <w:rFonts w:hint="eastAsia" w:ascii="仿宋" w:hAnsi="仿宋" w:eastAsia="仿宋" w:cs="仿宋"/>
          <w:sz w:val="28"/>
          <w:szCs w:val="28"/>
        </w:rPr>
        <w:t>甲、乙双方根据“江门市消费者权益保护委员会</w:t>
      </w:r>
      <w:r>
        <w:rPr>
          <w:rFonts w:hint="eastAsia" w:ascii="仿宋" w:hAnsi="仿宋" w:eastAsia="仿宋" w:cs="仿宋"/>
          <w:sz w:val="28"/>
          <w:szCs w:val="28"/>
          <w:lang w:eastAsia="zh-CN"/>
        </w:rPr>
        <w:t>2026</w:t>
      </w:r>
      <w:r>
        <w:rPr>
          <w:rFonts w:hint="eastAsia" w:ascii="仿宋" w:hAnsi="仿宋" w:eastAsia="仿宋" w:cs="仿宋"/>
          <w:sz w:val="28"/>
          <w:szCs w:val="28"/>
        </w:rPr>
        <w:t>年度放心消费‘双承诺’活动服务测评项目”（项目编号：</w:t>
      </w:r>
      <w:r>
        <w:rPr>
          <w:rFonts w:hint="eastAsia" w:ascii="仿宋" w:hAnsi="仿宋" w:eastAsia="仿宋" w:cs="仿宋"/>
          <w:sz w:val="28"/>
          <w:szCs w:val="28"/>
          <w:lang w:eastAsia="zh-CN"/>
        </w:rPr>
        <w:t>2026</w:t>
      </w:r>
      <w:r>
        <w:rPr>
          <w:rFonts w:hint="eastAsia" w:ascii="仿宋" w:hAnsi="仿宋" w:eastAsia="仿宋" w:cs="仿宋"/>
          <w:sz w:val="28"/>
          <w:szCs w:val="28"/>
        </w:rPr>
        <w:t>040</w:t>
      </w:r>
      <w:r>
        <w:rPr>
          <w:rFonts w:hint="eastAsia" w:ascii="仿宋" w:hAnsi="仿宋" w:eastAsia="仿宋" w:cs="仿宋"/>
          <w:sz w:val="28"/>
          <w:szCs w:val="28"/>
          <w:lang w:val="en-US" w:eastAsia="zh-CN"/>
        </w:rPr>
        <w:t>1</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为总结江门市放心消费“双承诺”活动的工作成果，分析活动存在的主要问题并提出解决思路，进一步提升“双承诺”活动成效，持续擦亮活动品牌，甲方委托乙方协助开展江门市放心消费“双承诺”活动服务测评项目。</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具体工作内容及要求如下：</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开展测评调查</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面向蓬江、江海、新会三区和台山、开平、鹤山、恩平四市合计600名消费者开展问卷调查，深入了解消费者对“双承诺”活动的意见和建议等，包括但不限于消费者认知度、满意率、消费需求、商家践诺率和消费者自愿宣传情况。同时，从消费者分类上体现差异化调查（如本地居民、港澳游客和除港澳的外地游客；男性消费者和女性消费者等），了解不同群体的对活动的社会认可度。全市消费者分配比例为：蓬江区120名、江海区80名、新会区120名、台山市75名、开平市75名、鹤山市80名、恩平市50名。</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、面向蓬江、江海、新会三区和台山、开平、鹤山、恩平四市放心消费“双承诺单位”，以“一区一特色一品牌”为主线，挑选400家企业进行调查体察和问卷调查，明确体现商家“品质</w:t>
      </w:r>
      <w:bookmarkStart w:id="0" w:name="_GoBack"/>
      <w:bookmarkEnd w:id="0"/>
      <w:r>
        <w:rPr>
          <w:rFonts w:hint="eastAsia" w:ascii="仿宋" w:hAnsi="仿宋" w:eastAsia="仿宋" w:cs="仿宋"/>
          <w:sz w:val="28"/>
          <w:szCs w:val="28"/>
        </w:rPr>
        <w:t>保证”“诚信保证”“维权保证”“诚信价格保证”“无不正当竞争保证”“诚信计量保证”“先行赔付保证”“线下无理由退货保证”“其他保证”等承诺保证，深入了解“双承诺”活动对企业的促进作用，包括产品质量改善、顾客回头率、营业额增长率等，以及企业对“双承诺”活动的需求和期望，包括激励机制期盼（优先推荐、重点宣传、项目审批加分、减税、减费、降租等）、工作指导需求（个性化推广和指导等）、服务支持策略（适合行业特点和具体需求等）。全市分布比例为：蓬江区80家、江海区60家、新会区80家、台山市45家、开平市45家、鹤山市60家、恩平市30家。</w:t>
      </w:r>
    </w:p>
    <w:p>
      <w:pPr>
        <w:widowControl/>
        <w:spacing w:line="480" w:lineRule="exact"/>
        <w:ind w:firstLine="618" w:firstLineChars="221"/>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、印制400份放心消费宣传物料（尺寸不小于A3，背胶，彩印，分辨率不低于300dpi）</w:t>
      </w:r>
      <w:r>
        <w:rPr>
          <w:rFonts w:hint="eastAsia" w:ascii="仿宋" w:hAnsi="仿宋" w:eastAsia="仿宋" w:cs="仿宋"/>
          <w:sz w:val="28"/>
          <w:szCs w:val="28"/>
          <w:lang w:eastAsia="zh-CN"/>
        </w:rPr>
        <w:t>。</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对测评情况进行汇总、整理，形成专题报告；</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开展后续宣传，包括召开1期线上新闻发布会（含播放测评结果解读视频），向全社会发布测评结果；通过地市级以上官方微信公众号、官方网站等渠道发布项目相关新闻各1期。；</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（四）项目效果</w:t>
      </w:r>
    </w:p>
    <w:p>
      <w:pPr>
        <w:widowControl/>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1、了解“双承诺”活动开展以来的实际成效和存在问题，并结合工作实际，提出具可行性和操作性的解决措施，为进一步打造“双承诺”活动品牌提供参考和建议；</w:t>
      </w:r>
    </w:p>
    <w:p>
      <w:pPr>
        <w:widowControl/>
        <w:spacing w:line="480" w:lineRule="exact"/>
        <w:ind w:firstLine="618" w:firstLineChars="221"/>
      </w:pPr>
      <w:r>
        <w:rPr>
          <w:rFonts w:hint="eastAsia" w:ascii="仿宋" w:hAnsi="仿宋" w:eastAsia="仿宋" w:cs="仿宋"/>
          <w:sz w:val="28"/>
          <w:szCs w:val="28"/>
        </w:rPr>
        <w:t>2、多渠道开展测评结果配套宣传，重点宣传“双承诺”活动对经营活动的正面促进作用，进一步提升企业参与活动的积极性；积极宣传“双承诺”活动对营造放心消费环境的带动作用，提升广大消费者对活动的支持度和参与度。</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（五）其他事项</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1、上述宣传报道内容对外发布前，乙方均应提交甲方审阅，经甲方审核通过后方可发布，甲方对上述内容的审定不成为乙方免责的事由，乙方仍需对相关文稿的校对、质量负责。</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2、项目完成后15个工作日内，乙方应按甲方要求提交项目相关文件、资料等成果性资料给甲方验收，上述资料属于甲方的财产。</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乙方向甲方提供服务的合同期限为</w:t>
      </w:r>
      <w:r>
        <w:rPr>
          <w:rFonts w:hint="eastAsia" w:ascii="仿宋" w:hAnsi="仿宋" w:eastAsia="仿宋" w:cs="仿宋"/>
          <w:sz w:val="28"/>
          <w:szCs w:val="28"/>
          <w:u w:val="single"/>
        </w:rPr>
        <w:t>自合同签订生效之日起至</w:t>
      </w:r>
      <w:r>
        <w:rPr>
          <w:rFonts w:hint="eastAsia" w:ascii="仿宋" w:hAnsi="仿宋" w:eastAsia="仿宋" w:cs="仿宋"/>
          <w:sz w:val="28"/>
          <w:szCs w:val="28"/>
          <w:u w:val="single"/>
          <w:lang w:eastAsia="zh-CN"/>
        </w:rPr>
        <w:t>2026</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月31日。</w:t>
      </w:r>
    </w:p>
    <w:p>
      <w:pPr>
        <w:numPr>
          <w:ilvl w:val="0"/>
          <w:numId w:val="1"/>
        </w:numPr>
        <w:spacing w:line="480" w:lineRule="exact"/>
        <w:rPr>
          <w:rFonts w:ascii="仿宋" w:hAnsi="仿宋" w:eastAsia="仿宋" w:cs="仿宋"/>
          <w:sz w:val="28"/>
          <w:szCs w:val="28"/>
          <w:u w:val="single"/>
        </w:rPr>
      </w:pPr>
      <w:r>
        <w:rPr>
          <w:rFonts w:hint="eastAsia" w:ascii="仿宋" w:hAnsi="仿宋" w:eastAsia="仿宋" w:cs="仿宋"/>
          <w:sz w:val="28"/>
          <w:szCs w:val="28"/>
        </w:rPr>
        <w:t>乙方向甲方提供服务可获得的项目总费用（含税价）为</w:t>
      </w:r>
      <w:r>
        <w:rPr>
          <w:rFonts w:hint="eastAsia" w:ascii="仿宋" w:hAnsi="仿宋" w:eastAsia="仿宋" w:cs="仿宋"/>
          <w:sz w:val="28"/>
          <w:szCs w:val="28"/>
          <w:u w:val="single"/>
        </w:rPr>
        <w:t>人民币伍万元整（￥50,000.00元）。项目总费用为含税价，且已包含甲方应付所有费用，甲方无需另外支付其他费用。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付款时间、方式。</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w:t>
      </w:r>
      <w:r>
        <w:rPr>
          <w:rFonts w:ascii="仿宋" w:hAnsi="仿宋" w:eastAsia="仿宋" w:cs="仿宋"/>
          <w:sz w:val="28"/>
          <w:szCs w:val="28"/>
        </w:rPr>
        <w:t>0</w:t>
      </w:r>
      <w:r>
        <w:rPr>
          <w:rFonts w:hint="eastAsia" w:ascii="仿宋" w:hAnsi="仿宋" w:eastAsia="仿宋" w:cs="仿宋"/>
          <w:sz w:val="28"/>
          <w:szCs w:val="28"/>
        </w:rPr>
        <w:t>个工作日内，向乙方支付项目总费用的50%，即</w:t>
      </w:r>
      <w:r>
        <w:rPr>
          <w:rFonts w:hint="eastAsia" w:ascii="仿宋" w:hAnsi="仿宋" w:eastAsia="仿宋" w:cs="仿宋"/>
          <w:sz w:val="28"/>
          <w:szCs w:val="28"/>
          <w:u w:val="single"/>
        </w:rPr>
        <w:t>人民币贰万伍仟元整（</w:t>
      </w:r>
      <w:r>
        <w:rPr>
          <w:rFonts w:hint="eastAsia" w:ascii="仿宋" w:hAnsi="仿宋" w:eastAsia="仿宋" w:cs="仿宋"/>
          <w:bCs/>
          <w:sz w:val="28"/>
          <w:szCs w:val="28"/>
          <w:u w:val="single"/>
        </w:rPr>
        <w:t>￥</w:t>
      </w:r>
      <w:r>
        <w:rPr>
          <w:rFonts w:hint="eastAsia" w:ascii="仿宋" w:hAnsi="仿宋" w:eastAsia="仿宋" w:cs="仿宋"/>
          <w:sz w:val="28"/>
          <w:szCs w:val="28"/>
          <w:u w:val="single"/>
        </w:rPr>
        <w:t>25,000元）；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2、第二期：待项目经甲方验收合格后，甲方再次凭收到乙方开具等额有效的发票之日起3</w:t>
      </w:r>
      <w:r>
        <w:rPr>
          <w:rFonts w:ascii="仿宋" w:hAnsi="仿宋" w:eastAsia="仿宋" w:cs="仿宋"/>
          <w:sz w:val="28"/>
          <w:szCs w:val="28"/>
        </w:rPr>
        <w:t>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人民币贰万伍仟元整（</w:t>
      </w:r>
      <w:r>
        <w:rPr>
          <w:rFonts w:hint="eastAsia" w:ascii="仿宋" w:hAnsi="仿宋" w:eastAsia="仿宋" w:cs="仿宋"/>
          <w:bCs/>
          <w:sz w:val="28"/>
          <w:szCs w:val="28"/>
          <w:u w:val="single"/>
        </w:rPr>
        <w:t>￥</w:t>
      </w:r>
      <w:r>
        <w:rPr>
          <w:rFonts w:hint="eastAsia" w:ascii="仿宋" w:hAnsi="仿宋" w:eastAsia="仿宋" w:cs="仿宋"/>
          <w:sz w:val="28"/>
          <w:szCs w:val="28"/>
          <w:u w:val="single"/>
        </w:rPr>
        <w:t>25,000元）。</w:t>
      </w:r>
    </w:p>
    <w:p>
      <w:pPr>
        <w:pStyle w:val="2"/>
        <w:ind w:left="0" w:firstLine="608"/>
        <w:rPr>
          <w:u w:val="single"/>
        </w:rPr>
      </w:pPr>
      <w:r>
        <w:rPr>
          <w:rFonts w:hint="eastAsia" w:ascii="仿宋" w:hAnsi="仿宋" w:eastAsia="仿宋" w:cs="仿宋"/>
          <w:szCs w:val="28"/>
        </w:rPr>
        <w:t>3、</w:t>
      </w:r>
      <w:r>
        <w:rPr>
          <w:rFonts w:hint="eastAsia"/>
        </w:rPr>
        <w:t>乙方确认：</w:t>
      </w:r>
      <w:r>
        <w:rPr>
          <w:rFonts w:hint="eastAsia"/>
          <w:u w:val="single"/>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left="560"/>
        <w:rPr>
          <w:rFonts w:ascii="仿宋" w:hAnsi="仿宋" w:eastAsia="仿宋" w:cs="仿宋"/>
          <w:sz w:val="28"/>
          <w:szCs w:val="28"/>
        </w:rPr>
      </w:pPr>
      <w:r>
        <w:rPr>
          <w:rFonts w:hint="eastAsia" w:ascii="仿宋" w:hAnsi="仿宋" w:eastAsia="仿宋" w:cs="仿宋"/>
          <w:sz w:val="28"/>
          <w:szCs w:val="28"/>
        </w:rPr>
        <w:t>1、开户名：</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2、开户行：</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3、账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left="560"/>
        <w:rPr>
          <w:rFonts w:ascii="仿宋" w:hAnsi="仿宋" w:eastAsia="仿宋" w:cs="仿宋"/>
          <w:sz w:val="28"/>
          <w:szCs w:val="28"/>
        </w:rPr>
      </w:pPr>
      <w:r>
        <w:rPr>
          <w:rFonts w:hint="eastAsia" w:ascii="仿宋" w:hAnsi="仿宋" w:eastAsia="仿宋" w:cs="仿宋"/>
          <w:sz w:val="28"/>
          <w:szCs w:val="28"/>
          <w:lang w:bidi="ar"/>
        </w:rPr>
        <w:t>1、单位名称：江门市消费者权益保护委员会</w:t>
      </w:r>
    </w:p>
    <w:p>
      <w:pPr>
        <w:pStyle w:val="9"/>
        <w:spacing w:line="480" w:lineRule="exact"/>
        <w:ind w:left="399" w:leftChars="133" w:firstLine="140" w:firstLineChars="50"/>
        <w:rPr>
          <w:rFonts w:ascii="仿宋" w:hAnsi="仿宋" w:eastAsia="仿宋" w:cs="仿宋"/>
          <w:sz w:val="28"/>
          <w:szCs w:val="28"/>
          <w:lang w:bidi="ar"/>
        </w:rPr>
      </w:pPr>
      <w:r>
        <w:rPr>
          <w:rFonts w:hint="eastAsia" w:ascii="仿宋" w:hAnsi="仿宋" w:eastAsia="仿宋" w:cs="仿宋"/>
          <w:sz w:val="28"/>
          <w:szCs w:val="28"/>
          <w:lang w:bidi="ar"/>
        </w:rPr>
        <w:t>2、统一信用代码：12440700MB2C47364X</w:t>
      </w:r>
    </w:p>
    <w:p>
      <w:pPr>
        <w:spacing w:line="480" w:lineRule="exact"/>
        <w:rPr>
          <w:rFonts w:ascii="仿宋" w:hAnsi="仿宋" w:eastAsia="仿宋" w:cs="仿宋"/>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sz w:val="28"/>
          <w:szCs w:val="28"/>
          <w:shd w:val="clear" w:color="auto" w:fill="FFFFFF"/>
        </w:rPr>
        <w:t xml:space="preserve"> </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乙方完成文字材料撰写，相关内容对外发布前都应提交甲方审核验收，甲方应在收到样稿之日起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本项目结束之日起15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numPr>
          <w:ilvl w:val="255"/>
          <w:numId w:val="0"/>
        </w:numPr>
        <w:spacing w:line="480" w:lineRule="exact"/>
        <w:ind w:firstLine="560" w:firstLineChars="200"/>
      </w:pPr>
      <w:r>
        <w:rPr>
          <w:rFonts w:hint="eastAsia" w:ascii="仿宋" w:hAnsi="仿宋" w:eastAsia="仿宋" w:cs="仿宋"/>
          <w:sz w:val="28"/>
          <w:szCs w:val="28"/>
        </w:rPr>
        <w:t>（二）验收标准：由甲方依据国家、省、市制定的法律法规政策、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255"/>
          <w:numId w:val="0"/>
        </w:numPr>
        <w:spacing w:line="480" w:lineRule="exact"/>
        <w:ind w:firstLine="560" w:firstLineChars="200"/>
      </w:pPr>
      <w:r>
        <w:rPr>
          <w:rFonts w:hint="eastAsia" w:ascii="仿宋" w:hAnsi="仿宋" w:eastAsia="仿宋" w:cs="仿宋"/>
          <w:bCs/>
          <w:sz w:val="28"/>
          <w:szCs w:val="28"/>
        </w:rPr>
        <w:t>（三）经甲方验收不合格的，乙方应在甲方指定期限内采取弥补措施并再次提交给甲方验收；验收合格后由甲方和乙方共同签字确认并作为结算及甲方支付相应款项的依据。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3"/>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根据甲方要求做出工作实施方案，并完成工作任务以及确保完成任务期间的人身安全、交通安全等各项安全事宜</w:t>
      </w:r>
      <w:r>
        <w:rPr>
          <w:rFonts w:hint="eastAsia" w:ascii="仿宋" w:hAnsi="仿宋" w:eastAsia="仿宋" w:cs="仿宋"/>
          <w:sz w:val="28"/>
          <w:szCs w:val="28"/>
        </w:rPr>
        <w:t>。</w:t>
      </w:r>
    </w:p>
    <w:p>
      <w:pPr>
        <w:numPr>
          <w:ilvl w:val="0"/>
          <w:numId w:val="3"/>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乙双方对此可以补充协议的方式约定继续履行的方式等内容。</w:t>
      </w:r>
    </w:p>
    <w:p>
      <w:pPr>
        <w:numPr>
          <w:ilvl w:val="0"/>
          <w:numId w:val="3"/>
        </w:numPr>
        <w:adjustRightInd w:val="0"/>
        <w:snapToGrid w:val="0"/>
        <w:spacing w:line="480" w:lineRule="exact"/>
        <w:ind w:firstLine="560"/>
      </w:pPr>
      <w:r>
        <w:rPr>
          <w:rFonts w:hint="eastAsia" w:ascii="仿宋" w:hAnsi="仿宋" w:eastAsia="仿宋" w:cs="仿宋"/>
          <w:sz w:val="28"/>
          <w:szCs w:val="28"/>
          <w:lang w:bidi="ar"/>
        </w:rPr>
        <w:t>若乙方没有及时通知并采取适当措施，致使合同无法继续履行的，乙方承担合同不能履行的全部风险及责任，甲方不予支付未履行部分的合同价款给乙方</w:t>
      </w:r>
      <w:r>
        <w:rPr>
          <w:rFonts w:hint="eastAsia" w:ascii="仿宋" w:hAnsi="仿宋" w:eastAsia="仿宋" w:cs="仿宋"/>
          <w:sz w:val="28"/>
          <w:szCs w:val="28"/>
        </w:rPr>
        <w:t>。</w:t>
      </w:r>
    </w:p>
    <w:p>
      <w:pPr>
        <w:spacing w:line="460" w:lineRule="exact"/>
        <w:rPr>
          <w:rFonts w:ascii="仿宋" w:hAnsi="仿宋" w:eastAsia="仿宋" w:cs="仿宋"/>
          <w:b/>
          <w:bCs/>
          <w:sz w:val="28"/>
          <w:szCs w:val="28"/>
        </w:rPr>
      </w:pPr>
      <w:r>
        <w:rPr>
          <w:rFonts w:hint="eastAsia" w:ascii="仿宋_GB2312" w:hAnsi="仿宋_GB2312" w:cs="仿宋_GB2312"/>
          <w:b/>
          <w:bCs/>
          <w:sz w:val="28"/>
          <w:szCs w:val="28"/>
        </w:rPr>
        <w:t xml:space="preserve">第六条   </w:t>
      </w:r>
      <w:r>
        <w:rPr>
          <w:rFonts w:hint="eastAsia" w:ascii="仿宋" w:hAnsi="仿宋" w:eastAsia="仿宋" w:cs="仿宋"/>
          <w:b/>
          <w:bCs/>
          <w:sz w:val="28"/>
          <w:szCs w:val="28"/>
        </w:rPr>
        <w:t>不可抗力</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numPr>
          <w:ilvl w:val="0"/>
          <w:numId w:val="5"/>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5"/>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numPr>
          <w:ilvl w:val="0"/>
          <w:numId w:val="8"/>
        </w:numPr>
        <w:autoSpaceDE w:val="0"/>
        <w:autoSpaceDN w:val="0"/>
        <w:adjustRightInd w:val="0"/>
        <w:spacing w:line="480" w:lineRule="exact"/>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以下为本合同附件，与本合同具有同等效力：</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采购公告；</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项目采购结果公告；</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其他附件及补充协议等资料。</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ind w:firstLineChars="138"/>
        <w:rPr>
          <w:rFonts w:ascii="仿宋" w:hAnsi="仿宋" w:eastAsia="仿宋" w:cs="仿宋"/>
          <w:szCs w:val="28"/>
        </w:rPr>
      </w:pPr>
    </w:p>
    <w:p>
      <w:pPr>
        <w:pStyle w:val="2"/>
        <w:ind w:firstLineChars="13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48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 xml:space="preserve">   </w:t>
      </w: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40" w:firstLine="420"/>
      </w:pPr>
      <w:rPr>
        <w:rFonts w:hint="eastAsia"/>
      </w:rPr>
    </w:lvl>
  </w:abstractNum>
  <w:abstractNum w:abstractNumId="2">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1"/>
  </w:num>
  <w:num w:numId="4">
    <w:abstractNumId w:val="6"/>
  </w:num>
  <w:num w:numId="5">
    <w:abstractNumId w:val="2"/>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A2"/>
    <w:rsid w:val="00000926"/>
    <w:rsid w:val="000635FD"/>
    <w:rsid w:val="000761D0"/>
    <w:rsid w:val="00081FF3"/>
    <w:rsid w:val="000B371B"/>
    <w:rsid w:val="000C070C"/>
    <w:rsid w:val="000D27CD"/>
    <w:rsid w:val="000D675B"/>
    <w:rsid w:val="000E11A0"/>
    <w:rsid w:val="00117F4E"/>
    <w:rsid w:val="0016054E"/>
    <w:rsid w:val="00162047"/>
    <w:rsid w:val="001711E8"/>
    <w:rsid w:val="001E17C6"/>
    <w:rsid w:val="00201EA2"/>
    <w:rsid w:val="00221BE7"/>
    <w:rsid w:val="00255A72"/>
    <w:rsid w:val="00266273"/>
    <w:rsid w:val="002747A8"/>
    <w:rsid w:val="002B421F"/>
    <w:rsid w:val="002E68A2"/>
    <w:rsid w:val="002F413E"/>
    <w:rsid w:val="0031495A"/>
    <w:rsid w:val="0034503A"/>
    <w:rsid w:val="003517F0"/>
    <w:rsid w:val="00357557"/>
    <w:rsid w:val="0036294A"/>
    <w:rsid w:val="003E740D"/>
    <w:rsid w:val="00401A66"/>
    <w:rsid w:val="004564F7"/>
    <w:rsid w:val="004836BB"/>
    <w:rsid w:val="00486E7F"/>
    <w:rsid w:val="0049346E"/>
    <w:rsid w:val="004D5D56"/>
    <w:rsid w:val="004F2C13"/>
    <w:rsid w:val="004F69CF"/>
    <w:rsid w:val="005075FD"/>
    <w:rsid w:val="00572448"/>
    <w:rsid w:val="00572A09"/>
    <w:rsid w:val="005E4FA2"/>
    <w:rsid w:val="0061598E"/>
    <w:rsid w:val="0062051E"/>
    <w:rsid w:val="00683BF2"/>
    <w:rsid w:val="006A43AF"/>
    <w:rsid w:val="006B2959"/>
    <w:rsid w:val="006B462E"/>
    <w:rsid w:val="006F6CE2"/>
    <w:rsid w:val="00723A52"/>
    <w:rsid w:val="00732722"/>
    <w:rsid w:val="00741A78"/>
    <w:rsid w:val="00751FE2"/>
    <w:rsid w:val="00766E61"/>
    <w:rsid w:val="00773E0E"/>
    <w:rsid w:val="007C209D"/>
    <w:rsid w:val="007D3012"/>
    <w:rsid w:val="007E2C38"/>
    <w:rsid w:val="008065C6"/>
    <w:rsid w:val="00810D3B"/>
    <w:rsid w:val="00833486"/>
    <w:rsid w:val="00842B9A"/>
    <w:rsid w:val="00857051"/>
    <w:rsid w:val="00863D54"/>
    <w:rsid w:val="008A0885"/>
    <w:rsid w:val="008B6605"/>
    <w:rsid w:val="008D1DD3"/>
    <w:rsid w:val="008F2099"/>
    <w:rsid w:val="008F4B1C"/>
    <w:rsid w:val="009378BF"/>
    <w:rsid w:val="00962A2C"/>
    <w:rsid w:val="00972B57"/>
    <w:rsid w:val="00977AE9"/>
    <w:rsid w:val="009B3216"/>
    <w:rsid w:val="009E2001"/>
    <w:rsid w:val="00A56832"/>
    <w:rsid w:val="00A63A6C"/>
    <w:rsid w:val="00A64391"/>
    <w:rsid w:val="00A728F8"/>
    <w:rsid w:val="00A81652"/>
    <w:rsid w:val="00A92FA9"/>
    <w:rsid w:val="00AB5507"/>
    <w:rsid w:val="00AC125A"/>
    <w:rsid w:val="00AD070C"/>
    <w:rsid w:val="00AE205D"/>
    <w:rsid w:val="00B17DFD"/>
    <w:rsid w:val="00B22C8B"/>
    <w:rsid w:val="00B642FC"/>
    <w:rsid w:val="00B806A2"/>
    <w:rsid w:val="00B8259E"/>
    <w:rsid w:val="00B85B26"/>
    <w:rsid w:val="00BB0BB7"/>
    <w:rsid w:val="00BC0975"/>
    <w:rsid w:val="00BE19E7"/>
    <w:rsid w:val="00C00BBB"/>
    <w:rsid w:val="00C54D6D"/>
    <w:rsid w:val="00CA0E9E"/>
    <w:rsid w:val="00CB4A9E"/>
    <w:rsid w:val="00CE05FD"/>
    <w:rsid w:val="00CE7664"/>
    <w:rsid w:val="00D927E7"/>
    <w:rsid w:val="00D96195"/>
    <w:rsid w:val="00D962ED"/>
    <w:rsid w:val="00DA2E37"/>
    <w:rsid w:val="00DC69A0"/>
    <w:rsid w:val="00DE69D7"/>
    <w:rsid w:val="00E2655C"/>
    <w:rsid w:val="00E27CB4"/>
    <w:rsid w:val="00E4628A"/>
    <w:rsid w:val="00E85998"/>
    <w:rsid w:val="00EA0E48"/>
    <w:rsid w:val="00EE2515"/>
    <w:rsid w:val="00F07C26"/>
    <w:rsid w:val="00F164AC"/>
    <w:rsid w:val="00F23D8E"/>
    <w:rsid w:val="00F43E23"/>
    <w:rsid w:val="00F54413"/>
    <w:rsid w:val="00F7084F"/>
    <w:rsid w:val="00FA0D9F"/>
    <w:rsid w:val="022F048A"/>
    <w:rsid w:val="09D77ACF"/>
    <w:rsid w:val="09DE0A66"/>
    <w:rsid w:val="0AF740DB"/>
    <w:rsid w:val="0BEA35C3"/>
    <w:rsid w:val="0DDF3CA5"/>
    <w:rsid w:val="0FB72321"/>
    <w:rsid w:val="102A18E1"/>
    <w:rsid w:val="10FC4243"/>
    <w:rsid w:val="12917AED"/>
    <w:rsid w:val="160C41FE"/>
    <w:rsid w:val="171724B5"/>
    <w:rsid w:val="1A19383D"/>
    <w:rsid w:val="1CD95088"/>
    <w:rsid w:val="20075F93"/>
    <w:rsid w:val="24EE444C"/>
    <w:rsid w:val="28F2788A"/>
    <w:rsid w:val="293A0576"/>
    <w:rsid w:val="2D016C87"/>
    <w:rsid w:val="391A5AE0"/>
    <w:rsid w:val="3B19643C"/>
    <w:rsid w:val="3D793A28"/>
    <w:rsid w:val="3FA76621"/>
    <w:rsid w:val="404A6C17"/>
    <w:rsid w:val="43F43818"/>
    <w:rsid w:val="452404E0"/>
    <w:rsid w:val="47C7B3FB"/>
    <w:rsid w:val="49F903D9"/>
    <w:rsid w:val="4B562BFB"/>
    <w:rsid w:val="4D261BEA"/>
    <w:rsid w:val="4DD70C4E"/>
    <w:rsid w:val="51065622"/>
    <w:rsid w:val="526E4AB6"/>
    <w:rsid w:val="5789094D"/>
    <w:rsid w:val="5BB2671C"/>
    <w:rsid w:val="67334F9D"/>
    <w:rsid w:val="690D3BC4"/>
    <w:rsid w:val="693B3F28"/>
    <w:rsid w:val="6B6B4C78"/>
    <w:rsid w:val="6B7E7578"/>
    <w:rsid w:val="6C7B1287"/>
    <w:rsid w:val="6F5F4F93"/>
    <w:rsid w:val="70955562"/>
    <w:rsid w:val="71CB2761"/>
    <w:rsid w:val="72AF67A9"/>
    <w:rsid w:val="76A81E4D"/>
    <w:rsid w:val="79276609"/>
    <w:rsid w:val="7BD14A6A"/>
    <w:rsid w:val="7EFEE140"/>
    <w:rsid w:val="EF7FD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customStyle="1" w:styleId="12">
    <w:name w:val="普通(网站)1"/>
    <w:basedOn w:val="1"/>
    <w:qFormat/>
    <w:uiPriority w:val="0"/>
    <w:pPr>
      <w:jc w:val="left"/>
    </w:pPr>
    <w:rPr>
      <w:rFonts w:ascii="Calibri" w:hAnsi="Calibri" w:eastAsia="宋体"/>
      <w:kern w:val="0"/>
      <w:sz w:val="24"/>
      <w:szCs w:val="24"/>
    </w:rPr>
  </w:style>
  <w:style w:type="character" w:customStyle="1" w:styleId="13">
    <w:name w:val="批注框文本 Char"/>
    <w:basedOn w:val="11"/>
    <w:link w:val="6"/>
    <w:qFormat/>
    <w:uiPriority w:val="0"/>
    <w:rPr>
      <w:rFonts w:eastAsia="仿宋_GB2312"/>
      <w:kern w:val="2"/>
      <w:sz w:val="18"/>
      <w:szCs w:val="18"/>
    </w:rPr>
  </w:style>
  <w:style w:type="paragraph" w:customStyle="1" w:styleId="14">
    <w:name w:val="普通(网站)2"/>
    <w:basedOn w:val="1"/>
    <w:qFormat/>
    <w:uiPriority w:val="0"/>
    <w:pPr>
      <w:jc w:val="left"/>
    </w:pPr>
    <w:rPr>
      <w:rFonts w:ascii="Calibri" w:hAnsi="Calibri" w:eastAsia="宋体"/>
      <w:kern w:val="0"/>
      <w:sz w:val="24"/>
      <w:szCs w:val="24"/>
    </w:rPr>
  </w:style>
  <w:style w:type="paragraph" w:customStyle="1" w:styleId="15">
    <w:name w:val="普通(网站)3"/>
    <w:basedOn w:val="1"/>
    <w:qFormat/>
    <w:uiPriority w:val="0"/>
    <w:pPr>
      <w:jc w:val="left"/>
    </w:pPr>
    <w:rPr>
      <w:rFonts w:ascii="Calibri" w:hAnsi="Calibri" w:eastAsia="宋体" w:cs="黑体"/>
      <w:kern w:val="0"/>
      <w:sz w:val="24"/>
      <w:szCs w:val="24"/>
    </w:rPr>
  </w:style>
  <w:style w:type="paragraph" w:customStyle="1" w:styleId="16">
    <w:name w:val="普通(网站)4"/>
    <w:basedOn w:val="1"/>
    <w:qFormat/>
    <w:uiPriority w:val="0"/>
    <w:pPr>
      <w:jc w:val="left"/>
    </w:pPr>
    <w:rPr>
      <w:rFonts w:ascii="Calibri" w:hAnsi="Calibri" w:eastAsia="宋体" w:cs="黑体"/>
      <w:kern w:val="0"/>
      <w:sz w:val="24"/>
      <w:szCs w:val="24"/>
    </w:rPr>
  </w:style>
  <w:style w:type="paragraph" w:styleId="17">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717</Words>
  <Characters>4089</Characters>
  <Lines>34</Lines>
  <Paragraphs>9</Paragraphs>
  <TotalTime>7</TotalTime>
  <ScaleCrop>false</ScaleCrop>
  <LinksUpToDate>false</LinksUpToDate>
  <CharactersWithSpaces>4797</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2021-05-26T10:58:00Z</dcterms:created>
  <dc:creator>Administrator</dc:creator>
  <cp:lastModifiedBy>汤锐辉</cp:lastModifiedBy>
  <cp:lastPrinted>2024-06-12T09:02:00Z</cp:lastPrinted>
  <dcterms:modified xsi:type="dcterms:W3CDTF">2026-04-27T06:43:56Z</dcterms:modified>
  <dc:title>2020年江门市工业产品生产许可证证后</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F89E2487F82949029D8AB9F341EA8070</vt:lpwstr>
  </property>
</Properties>
</file>