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sz w:val="32"/>
          <w:szCs w:val="32"/>
        </w:rPr>
      </w:pPr>
      <w:bookmarkStart w:id="2" w:name="_GoBack"/>
      <w:bookmarkEnd w:id="2"/>
      <w:r>
        <w:rPr>
          <w:sz w:val="32"/>
          <w:szCs w:val="32"/>
        </w:rPr>
        <w:t>附件</w:t>
      </w:r>
      <w:r>
        <w:rPr>
          <w:rFonts w:hint="eastAsia"/>
          <w:sz w:val="32"/>
          <w:szCs w:val="32"/>
        </w:rPr>
        <w:t>3</w:t>
      </w:r>
    </w:p>
    <w:p>
      <w:pPr>
        <w:spacing w:line="480" w:lineRule="exact"/>
        <w:jc w:val="center"/>
        <w:rPr>
          <w:rFonts w:ascii="宋体" w:hAnsi="宋体" w:eastAsia="宋体" w:cs="宋体"/>
          <w:b/>
          <w:color w:val="000000" w:themeColor="text1"/>
          <w:sz w:val="44"/>
          <w:szCs w:val="44"/>
          <w:shd w:val="clear" w:color="auto" w:fill="FFFFFF"/>
          <w14:textFill>
            <w14:solidFill>
              <w14:schemeClr w14:val="tx1"/>
            </w14:solidFill>
          </w14:textFill>
        </w:rPr>
      </w:pPr>
      <w:r>
        <w:rPr>
          <w:rFonts w:hint="eastAsia" w:ascii="宋体" w:hAnsi="宋体" w:eastAsia="宋体" w:cs="宋体"/>
          <w:b/>
          <w:color w:val="000000" w:themeColor="text1"/>
          <w:sz w:val="44"/>
          <w:szCs w:val="44"/>
          <w:shd w:val="clear" w:color="auto" w:fill="FFFFFF"/>
          <w14:textFill>
            <w14:solidFill>
              <w14:schemeClr w14:val="tx1"/>
            </w14:solidFill>
          </w14:textFill>
        </w:rPr>
        <w:t>江门市市场监督管理局202</w:t>
      </w:r>
      <w:r>
        <w:rPr>
          <w:rFonts w:hint="eastAsia" w:ascii="宋体" w:hAnsi="宋体" w:eastAsia="宋体" w:cs="宋体"/>
          <w:b/>
          <w:color w:val="000000" w:themeColor="text1"/>
          <w:sz w:val="44"/>
          <w:szCs w:val="44"/>
          <w:shd w:val="clear" w:color="auto" w:fill="FFFFFF"/>
          <w:lang w:val="en-US" w:eastAsia="zh-CN"/>
          <w14:textFill>
            <w14:solidFill>
              <w14:schemeClr w14:val="tx1"/>
            </w14:solidFill>
          </w14:textFill>
        </w:rPr>
        <w:t>6</w:t>
      </w:r>
      <w:r>
        <w:rPr>
          <w:rFonts w:hint="eastAsia" w:ascii="宋体" w:hAnsi="宋体" w:eastAsia="宋体" w:cs="宋体"/>
          <w:b/>
          <w:color w:val="000000" w:themeColor="text1"/>
          <w:sz w:val="44"/>
          <w:szCs w:val="44"/>
          <w:shd w:val="clear" w:color="auto" w:fill="FFFFFF"/>
          <w14:textFill>
            <w14:solidFill>
              <w14:schemeClr w14:val="tx1"/>
            </w14:solidFill>
          </w14:textFill>
        </w:rPr>
        <w:t>年网络交易监测服务项目合同（模版）</w:t>
      </w:r>
    </w:p>
    <w:p>
      <w:pPr>
        <w:spacing w:line="480" w:lineRule="exact"/>
        <w:jc w:val="center"/>
        <w:rPr>
          <w:rFonts w:ascii="宋体" w:hAnsi="宋体" w:eastAsia="宋体" w:cs="宋体"/>
          <w:b/>
          <w:color w:val="000000" w:themeColor="text1"/>
          <w:sz w:val="32"/>
          <w:szCs w:val="32"/>
          <w:shd w:val="clear" w:color="auto" w:fill="FFFFFF"/>
          <w14:textFill>
            <w14:solidFill>
              <w14:schemeClr w14:val="tx1"/>
            </w14:solidFill>
          </w14:textFill>
        </w:rPr>
      </w:pPr>
    </w:p>
    <w:p>
      <w:pPr>
        <w:spacing w:line="480" w:lineRule="exact"/>
        <w:rPr>
          <w:rFonts w:ascii="仿宋" w:hAnsi="仿宋" w:eastAsia="仿宋" w:cs="仿宋"/>
          <w:b/>
          <w:color w:val="000000"/>
          <w:sz w:val="28"/>
          <w:szCs w:val="28"/>
          <w:u w:val="single"/>
        </w:rPr>
      </w:pP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 xml:space="preserve">： </w:t>
      </w:r>
      <w:r>
        <w:rPr>
          <w:rFonts w:hint="eastAsia" w:ascii="仿宋" w:hAnsi="仿宋" w:eastAsia="仿宋" w:cs="仿宋"/>
          <w:bCs/>
          <w:sz w:val="28"/>
          <w:szCs w:val="28"/>
          <w:u w:val="single"/>
        </w:rPr>
        <w:t>江门市市场监督管理局</w:t>
      </w:r>
    </w:p>
    <w:p>
      <w:pPr>
        <w:spacing w:line="480" w:lineRule="exact"/>
        <w:rPr>
          <w:rFonts w:ascii="仿宋" w:hAnsi="仿宋" w:eastAsia="仿宋" w:cs="仿宋"/>
          <w:color w:val="000000"/>
          <w:sz w:val="28"/>
          <w:szCs w:val="28"/>
          <w:u w:val="single"/>
        </w:rPr>
      </w:pPr>
      <w:r>
        <w:rPr>
          <w:rFonts w:hint="eastAsia" w:ascii="仿宋" w:hAnsi="仿宋" w:eastAsia="仿宋" w:cs="仿宋"/>
          <w:color w:val="000000"/>
          <w:sz w:val="28"/>
          <w:szCs w:val="28"/>
        </w:rPr>
        <w:t xml:space="preserve">地址：  </w:t>
      </w:r>
      <w:r>
        <w:rPr>
          <w:rFonts w:hint="eastAsia" w:ascii="仿宋" w:hAnsi="仿宋" w:eastAsia="仿宋" w:cs="仿宋"/>
          <w:color w:val="000000"/>
          <w:sz w:val="28"/>
          <w:szCs w:val="28"/>
          <w:u w:val="single"/>
        </w:rPr>
        <w:t>江门市东华二路7号</w:t>
      </w:r>
    </w:p>
    <w:p>
      <w:pPr>
        <w:spacing w:line="480" w:lineRule="exact"/>
        <w:rPr>
          <w:rFonts w:ascii="仿宋" w:hAnsi="仿宋" w:eastAsia="仿宋" w:cs="仿宋"/>
          <w:color w:val="000000"/>
          <w:sz w:val="28"/>
          <w:szCs w:val="28"/>
          <w:highlight w:val="yellow"/>
        </w:rPr>
      </w:pPr>
      <w:r>
        <w:rPr>
          <w:rFonts w:hint="eastAsia" w:ascii="仿宋" w:hAnsi="仿宋" w:eastAsia="仿宋" w:cs="仿宋"/>
          <w:color w:val="000000"/>
          <w:sz w:val="28"/>
          <w:szCs w:val="28"/>
          <w:highlight w:val="yellow"/>
        </w:rPr>
        <w:t>联系人：</w:t>
      </w:r>
    </w:p>
    <w:p>
      <w:pPr>
        <w:spacing w:line="480" w:lineRule="exact"/>
        <w:rPr>
          <w:rFonts w:ascii="仿宋" w:hAnsi="仿宋" w:eastAsia="仿宋" w:cs="仿宋"/>
          <w:color w:val="000000"/>
          <w:sz w:val="28"/>
          <w:szCs w:val="28"/>
          <w:highlight w:val="yellow"/>
        </w:rPr>
      </w:pPr>
      <w:r>
        <w:rPr>
          <w:rFonts w:hint="eastAsia" w:ascii="仿宋" w:hAnsi="仿宋" w:eastAsia="仿宋" w:cs="仿宋"/>
          <w:color w:val="000000"/>
          <w:sz w:val="28"/>
          <w:szCs w:val="28"/>
          <w:highlight w:val="yellow"/>
        </w:rPr>
        <w:t xml:space="preserve">电话：  </w:t>
      </w:r>
    </w:p>
    <w:p>
      <w:pPr>
        <w:spacing w:line="480" w:lineRule="exact"/>
        <w:rPr>
          <w:rFonts w:ascii="仿宋" w:hAnsi="仿宋" w:eastAsia="仿宋" w:cs="仿宋"/>
          <w:b/>
          <w:sz w:val="28"/>
          <w:szCs w:val="28"/>
          <w:highlight w:val="yellow"/>
          <w:u w:val="single"/>
        </w:rPr>
      </w:pPr>
      <w:r>
        <w:rPr>
          <w:rFonts w:hint="eastAsia" w:ascii="仿宋" w:hAnsi="仿宋" w:eastAsia="仿宋" w:cs="仿宋"/>
          <w:b/>
          <w:bCs/>
          <w:color w:val="000000"/>
          <w:sz w:val="28"/>
          <w:szCs w:val="28"/>
          <w:highlight w:val="yellow"/>
        </w:rPr>
        <w:t>乙方</w:t>
      </w:r>
      <w:r>
        <w:rPr>
          <w:rFonts w:hint="eastAsia" w:ascii="仿宋" w:hAnsi="仿宋" w:eastAsia="仿宋" w:cs="仿宋"/>
          <w:color w:val="000000"/>
          <w:sz w:val="28"/>
          <w:szCs w:val="28"/>
          <w:highlight w:val="yellow"/>
        </w:rPr>
        <w:t xml:space="preserve">： </w:t>
      </w:r>
    </w:p>
    <w:p>
      <w:pPr>
        <w:spacing w:line="480" w:lineRule="exact"/>
        <w:rPr>
          <w:rFonts w:ascii="仿宋" w:hAnsi="仿宋" w:eastAsia="仿宋" w:cs="仿宋"/>
          <w:color w:val="000000"/>
          <w:sz w:val="28"/>
          <w:szCs w:val="28"/>
          <w:highlight w:val="yellow"/>
        </w:rPr>
      </w:pPr>
      <w:r>
        <w:rPr>
          <w:rFonts w:hint="eastAsia" w:ascii="仿宋" w:hAnsi="仿宋" w:eastAsia="仿宋" w:cs="仿宋"/>
          <w:color w:val="000000"/>
          <w:sz w:val="28"/>
          <w:szCs w:val="28"/>
          <w:highlight w:val="yellow"/>
        </w:rPr>
        <w:t xml:space="preserve">地址： </w:t>
      </w:r>
    </w:p>
    <w:p>
      <w:pPr>
        <w:spacing w:line="480" w:lineRule="exact"/>
        <w:rPr>
          <w:rFonts w:ascii="仿宋" w:hAnsi="仿宋" w:eastAsia="仿宋" w:cs="仿宋"/>
          <w:color w:val="000000"/>
          <w:sz w:val="28"/>
          <w:szCs w:val="28"/>
          <w:highlight w:val="yellow"/>
        </w:rPr>
      </w:pPr>
      <w:r>
        <w:rPr>
          <w:rFonts w:hint="eastAsia" w:ascii="仿宋" w:hAnsi="仿宋" w:eastAsia="仿宋" w:cs="仿宋"/>
          <w:color w:val="000000"/>
          <w:sz w:val="28"/>
          <w:szCs w:val="28"/>
          <w:highlight w:val="yellow"/>
        </w:rPr>
        <w:t>联系人：</w:t>
      </w:r>
    </w:p>
    <w:p>
      <w:pPr>
        <w:spacing w:line="480" w:lineRule="exact"/>
        <w:rPr>
          <w:rFonts w:ascii="仿宋" w:hAnsi="仿宋" w:eastAsia="仿宋" w:cs="仿宋"/>
          <w:color w:val="000000"/>
          <w:sz w:val="28"/>
          <w:szCs w:val="28"/>
          <w:highlight w:val="yellow"/>
        </w:rPr>
      </w:pPr>
      <w:r>
        <w:rPr>
          <w:rFonts w:hint="eastAsia" w:ascii="仿宋" w:hAnsi="仿宋" w:eastAsia="仿宋" w:cs="仿宋"/>
          <w:color w:val="000000"/>
          <w:sz w:val="28"/>
          <w:szCs w:val="28"/>
          <w:highlight w:val="yellow"/>
        </w:rPr>
        <w:t xml:space="preserve">电话： </w:t>
      </w:r>
    </w:p>
    <w:p>
      <w:pPr>
        <w:spacing w:line="480" w:lineRule="exact"/>
        <w:rPr>
          <w:rFonts w:ascii="仿宋" w:hAnsi="仿宋" w:eastAsia="仿宋" w:cs="仿宋"/>
          <w:color w:val="666666"/>
          <w:sz w:val="28"/>
          <w:szCs w:val="28"/>
          <w:shd w:val="clear" w:color="auto" w:fill="FFFFFF"/>
        </w:rPr>
      </w:pPr>
    </w:p>
    <w:p>
      <w:pPr>
        <w:widowControl/>
        <w:spacing w:line="480" w:lineRule="exact"/>
        <w:ind w:firstLine="618" w:firstLineChars="221"/>
        <w:rPr>
          <w:rFonts w:ascii="仿宋" w:hAnsi="仿宋" w:eastAsia="仿宋" w:cs="仿宋"/>
          <w:b/>
          <w:bCs/>
          <w:sz w:val="28"/>
          <w:szCs w:val="28"/>
        </w:rPr>
      </w:pPr>
      <w:r>
        <w:rPr>
          <w:rFonts w:hint="eastAsia" w:ascii="仿宋" w:hAnsi="仿宋" w:eastAsia="仿宋" w:cs="仿宋"/>
          <w:sz w:val="28"/>
          <w:szCs w:val="28"/>
        </w:rPr>
        <w:t>乙方作为“江门市市场监督管理局2026年网络交易监测服务项目”的运营方，为甲方提供</w:t>
      </w:r>
      <w:r>
        <w:rPr>
          <w:rFonts w:hint="eastAsia" w:ascii="仿宋" w:hAnsi="仿宋" w:eastAsia="仿宋" w:cs="仿宋"/>
          <w:sz w:val="28"/>
          <w:szCs w:val="28"/>
          <w:lang w:eastAsia="zh-CN"/>
        </w:rPr>
        <w:t>网络交易监测服务</w:t>
      </w:r>
      <w:r>
        <w:rPr>
          <w:rFonts w:hint="eastAsia" w:ascii="仿宋" w:hAnsi="仿宋" w:eastAsia="仿宋" w:cs="仿宋"/>
          <w:sz w:val="28"/>
          <w:szCs w:val="28"/>
        </w:rPr>
        <w:t>。双方依据《中华人民共和国民法典》等相关法律法规的规定，本着平等、自愿、公平和诚实信用的原则，通过友好协商达成本合同：</w:t>
      </w:r>
      <w:r>
        <w:rPr>
          <w:rFonts w:hint="eastAsia" w:ascii="仿宋" w:hAnsi="仿宋" w:eastAsia="仿宋" w:cs="仿宋"/>
          <w:color w:val="000000"/>
          <w:sz w:val="28"/>
          <w:szCs w:val="28"/>
        </w:rPr>
        <w:t xml:space="preserve"> </w:t>
      </w:r>
    </w:p>
    <w:p>
      <w:pPr>
        <w:spacing w:line="480" w:lineRule="exact"/>
        <w:ind w:firstLine="0" w:firstLineChars="0"/>
        <w:rPr>
          <w:rFonts w:ascii="仿宋" w:hAnsi="仿宋" w:eastAsia="仿宋" w:cs="仿宋"/>
          <w:b/>
          <w:bCs/>
          <w:sz w:val="28"/>
          <w:szCs w:val="28"/>
        </w:rPr>
      </w:pPr>
      <w:r>
        <w:rPr>
          <w:rFonts w:hint="eastAsia" w:ascii="仿宋" w:hAnsi="仿宋" w:eastAsia="仿宋" w:cs="仿宋"/>
          <w:b/>
          <w:bCs/>
          <w:sz w:val="28"/>
          <w:szCs w:val="28"/>
        </w:rPr>
        <w:t xml:space="preserve">第一条  项目内容 </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甲方委托乙方就202</w:t>
      </w:r>
      <w:r>
        <w:rPr>
          <w:rFonts w:hint="eastAsia" w:ascii="仿宋" w:hAnsi="仿宋" w:eastAsia="仿宋" w:cs="仿宋"/>
          <w:sz w:val="28"/>
          <w:szCs w:val="28"/>
          <w:lang w:val="en-US" w:eastAsia="zh-CN"/>
        </w:rPr>
        <w:t>6</w:t>
      </w:r>
      <w:r>
        <w:rPr>
          <w:rFonts w:hint="eastAsia" w:ascii="仿宋" w:hAnsi="仿宋" w:eastAsia="仿宋" w:cs="仿宋"/>
          <w:sz w:val="28"/>
          <w:szCs w:val="28"/>
        </w:rPr>
        <w:t>年网络交易监测提供技术服务工作，按甲方要求及标准（详见附件：采购公告）在约定期限内，向甲方提供服务，并提交相关工作成果：</w:t>
      </w:r>
    </w:p>
    <w:p>
      <w:pPr>
        <w:pStyle w:val="16"/>
        <w:widowControl/>
        <w:tabs>
          <w:tab w:val="center" w:pos="4153"/>
        </w:tabs>
        <w:spacing w:line="480" w:lineRule="exact"/>
        <w:ind w:firstLine="640"/>
        <w:rPr>
          <w:rFonts w:ascii="仿宋" w:hAnsi="仿宋" w:eastAsia="仿宋" w:cs="仿宋"/>
          <w:kern w:val="2"/>
          <w:sz w:val="28"/>
          <w:szCs w:val="28"/>
        </w:rPr>
      </w:pPr>
      <w:bookmarkStart w:id="0" w:name="_Toc132327162"/>
      <w:bookmarkStart w:id="1" w:name="_Toc1235704707"/>
      <w:r>
        <w:rPr>
          <w:rFonts w:hint="eastAsia" w:ascii="仿宋" w:hAnsi="仿宋" w:eastAsia="仿宋" w:cs="仿宋"/>
          <w:kern w:val="2"/>
          <w:sz w:val="28"/>
          <w:szCs w:val="28"/>
        </w:rPr>
        <w:t>1.江门网络市场数据服务</w:t>
      </w:r>
    </w:p>
    <w:p>
      <w:pPr>
        <w:pStyle w:val="16"/>
        <w:widowControl/>
        <w:tabs>
          <w:tab w:val="center" w:pos="4153"/>
        </w:tabs>
        <w:spacing w:line="480" w:lineRule="exact"/>
        <w:ind w:firstLine="640"/>
        <w:rPr>
          <w:rFonts w:ascii="仿宋" w:hAnsi="仿宋" w:eastAsia="仿宋" w:cs="仿宋"/>
          <w:kern w:val="2"/>
          <w:sz w:val="28"/>
          <w:szCs w:val="28"/>
        </w:rPr>
      </w:pPr>
      <w:r>
        <w:rPr>
          <w:rFonts w:hint="eastAsia" w:ascii="仿宋" w:hAnsi="仿宋" w:eastAsia="仿宋" w:cs="仿宋"/>
          <w:kern w:val="2"/>
          <w:sz w:val="28"/>
          <w:szCs w:val="28"/>
        </w:rPr>
        <w:t>综合利用第三方大数据，及我市网络市场主体在线监测数据等，对相关数据进行碰撞、关联、分析，掌握全市网络市场主体主体数据、客体行为数据、交易规模等信息，建立江门市网络市场数据，以支撑网络市场动态研判分析。</w:t>
      </w:r>
    </w:p>
    <w:p>
      <w:pPr>
        <w:pStyle w:val="16"/>
        <w:widowControl/>
        <w:tabs>
          <w:tab w:val="center" w:pos="4153"/>
        </w:tabs>
        <w:spacing w:line="480" w:lineRule="exact"/>
        <w:ind w:firstLine="640"/>
        <w:rPr>
          <w:rFonts w:ascii="仿宋" w:hAnsi="仿宋" w:eastAsia="仿宋" w:cs="仿宋"/>
          <w:kern w:val="2"/>
          <w:sz w:val="28"/>
          <w:szCs w:val="28"/>
        </w:rPr>
      </w:pPr>
      <w:r>
        <w:rPr>
          <w:rFonts w:hint="eastAsia" w:ascii="仿宋" w:hAnsi="仿宋" w:eastAsia="仿宋" w:cs="仿宋"/>
          <w:kern w:val="2"/>
          <w:sz w:val="28"/>
          <w:szCs w:val="28"/>
        </w:rPr>
        <w:t>1.1数据服务内容</w:t>
      </w:r>
    </w:p>
    <w:p>
      <w:pPr>
        <w:pStyle w:val="16"/>
        <w:widowControl/>
        <w:tabs>
          <w:tab w:val="center" w:pos="4153"/>
        </w:tabs>
        <w:spacing w:line="480" w:lineRule="exact"/>
        <w:ind w:firstLine="640"/>
        <w:rPr>
          <w:rFonts w:hint="eastAsia" w:ascii="仿宋" w:hAnsi="仿宋" w:eastAsia="仿宋" w:cs="仿宋"/>
          <w:kern w:val="2"/>
          <w:sz w:val="28"/>
          <w:szCs w:val="28"/>
        </w:rPr>
      </w:pPr>
      <w:r>
        <w:rPr>
          <w:rFonts w:hint="eastAsia" w:ascii="仿宋" w:hAnsi="仿宋" w:eastAsia="仿宋" w:cs="仿宋"/>
          <w:kern w:val="2"/>
          <w:sz w:val="28"/>
          <w:szCs w:val="28"/>
        </w:rPr>
        <w:t>本项目数据服务覆盖江门市各类网络交易主体、交易行为及相关动态数据，全面涵盖传统电商、即时电商、直播电商等各类业态，具体内容如下：</w:t>
      </w:r>
    </w:p>
    <w:p>
      <w:pPr>
        <w:pStyle w:val="16"/>
        <w:widowControl/>
        <w:tabs>
          <w:tab w:val="center" w:pos="4153"/>
        </w:tabs>
        <w:spacing w:line="480" w:lineRule="exact"/>
        <w:ind w:firstLine="640"/>
        <w:rPr>
          <w:rFonts w:ascii="仿宋" w:hAnsi="仿宋" w:eastAsia="仿宋" w:cs="仿宋"/>
          <w:kern w:val="2"/>
          <w:sz w:val="28"/>
          <w:szCs w:val="28"/>
        </w:rPr>
      </w:pPr>
      <w:r>
        <w:rPr>
          <w:rFonts w:hint="eastAsia" w:ascii="仿宋" w:hAnsi="仿宋" w:eastAsia="仿宋" w:cs="仿宋"/>
          <w:kern w:val="2"/>
          <w:sz w:val="28"/>
          <w:szCs w:val="28"/>
        </w:rPr>
        <w:t>全面采集注册地在江门市的各类网络交易载体数据，包括网络交易平台、自建交易网站及平台内经营者，同时涵盖社交电商平台网店、移动APP、微信公众号、小程序等各类新型网络交易载体，确保无遗漏、无死角；重点采集注册地在江门市的网络交易平台经营者相关信息，包含平台名称、经营企业等基础信息以及平台入驻情况、交易量、交易额等经营数据；针对全国主流网络交易平台（包括但不限于淘宝、1688、天猫、京东、拼多多、美团、淘宝</w:t>
      </w:r>
      <w:r>
        <w:rPr>
          <w:rFonts w:hint="eastAsia" w:ascii="仿宋" w:hAnsi="仿宋" w:eastAsia="仿宋" w:cs="仿宋"/>
          <w:kern w:val="2"/>
          <w:sz w:val="28"/>
          <w:szCs w:val="28"/>
          <w:lang w:eastAsia="zh-CN"/>
        </w:rPr>
        <w:t>闪</w:t>
      </w:r>
      <w:r>
        <w:rPr>
          <w:rFonts w:hint="eastAsia" w:ascii="仿宋" w:hAnsi="仿宋" w:eastAsia="仿宋" w:cs="仿宋"/>
          <w:kern w:val="2"/>
          <w:sz w:val="28"/>
          <w:szCs w:val="28"/>
        </w:rPr>
        <w:t>购、</w:t>
      </w:r>
      <w:r>
        <w:rPr>
          <w:rFonts w:hint="eastAsia" w:ascii="仿宋" w:hAnsi="仿宋" w:eastAsia="仿宋" w:cs="仿宋"/>
          <w:kern w:val="2"/>
          <w:sz w:val="28"/>
          <w:szCs w:val="28"/>
          <w:lang w:eastAsia="zh-CN"/>
        </w:rPr>
        <w:t>京东秒送、</w:t>
      </w:r>
      <w:r>
        <w:rPr>
          <w:rFonts w:hint="eastAsia" w:ascii="仿宋" w:hAnsi="仿宋" w:eastAsia="仿宋" w:cs="仿宋"/>
          <w:kern w:val="2"/>
          <w:sz w:val="28"/>
          <w:szCs w:val="28"/>
        </w:rPr>
        <w:t>抖音、快手、微信小店等主流平台），精准采集注册地在江门市的平台内经营者基础信息、店铺运营数据及商品相关信息；采集ICP备案在江门市的自建网站经营者数据，涵盖经营者基础信息、网站运营数据、站内商品详细信息及网站整体经营数据；重点统计注册地在江门市的公众号、小程序、APP等新型网络交易载体的基础数据，全面覆盖社交电商、直播电商等新业态下的电子商务经营者，采集其载体信息、经营主体信息及经营相关数据。</w:t>
      </w:r>
    </w:p>
    <w:p>
      <w:pPr>
        <w:pStyle w:val="16"/>
        <w:widowControl/>
        <w:tabs>
          <w:tab w:val="center" w:pos="4153"/>
        </w:tabs>
        <w:spacing w:line="480" w:lineRule="exact"/>
        <w:ind w:firstLine="640"/>
        <w:rPr>
          <w:rFonts w:ascii="仿宋" w:hAnsi="仿宋" w:eastAsia="仿宋" w:cs="仿宋"/>
          <w:kern w:val="2"/>
          <w:sz w:val="28"/>
          <w:szCs w:val="28"/>
        </w:rPr>
      </w:pPr>
      <w:r>
        <w:rPr>
          <w:rFonts w:hint="eastAsia" w:ascii="仿宋" w:hAnsi="仿宋" w:eastAsia="仿宋" w:cs="仿宋"/>
          <w:kern w:val="2"/>
          <w:sz w:val="28"/>
          <w:szCs w:val="28"/>
        </w:rPr>
        <w:t>1.2数据服务应用</w:t>
      </w:r>
    </w:p>
    <w:p>
      <w:pPr>
        <w:pStyle w:val="16"/>
        <w:widowControl/>
        <w:tabs>
          <w:tab w:val="center" w:pos="4153"/>
        </w:tabs>
        <w:spacing w:line="480" w:lineRule="exact"/>
        <w:ind w:firstLine="640"/>
        <w:rPr>
          <w:rFonts w:hint="eastAsia" w:ascii="仿宋" w:hAnsi="仿宋" w:eastAsia="仿宋" w:cs="仿宋"/>
          <w:kern w:val="2"/>
          <w:sz w:val="28"/>
          <w:szCs w:val="28"/>
        </w:rPr>
      </w:pPr>
      <w:r>
        <w:rPr>
          <w:rFonts w:hint="eastAsia" w:ascii="仿宋" w:hAnsi="仿宋" w:eastAsia="仿宋" w:cs="仿宋"/>
          <w:kern w:val="2"/>
          <w:sz w:val="28"/>
          <w:szCs w:val="28"/>
        </w:rPr>
        <w:t>1.2.1数据综合应用。基于数据库内的本地网络市场数据，开发相应的搜索引擎，可通过违法关键词、条件筛选等功能，实现对本地网站、网店、网络经营行为（客体商品、网页）的实时检索，提高网络监管工作主动性。</w:t>
      </w:r>
    </w:p>
    <w:p>
      <w:pPr>
        <w:pStyle w:val="16"/>
        <w:widowControl/>
        <w:tabs>
          <w:tab w:val="center" w:pos="4153"/>
        </w:tabs>
        <w:spacing w:line="480" w:lineRule="exact"/>
        <w:ind w:firstLine="640"/>
        <w:rPr>
          <w:rFonts w:hint="eastAsia" w:ascii="仿宋" w:hAnsi="仿宋" w:eastAsia="仿宋" w:cs="仿宋"/>
          <w:kern w:val="2"/>
          <w:sz w:val="28"/>
          <w:szCs w:val="28"/>
        </w:rPr>
      </w:pPr>
      <w:r>
        <w:rPr>
          <w:rFonts w:hint="eastAsia" w:ascii="仿宋" w:hAnsi="仿宋" w:eastAsia="仿宋" w:cs="仿宋"/>
          <w:kern w:val="2"/>
          <w:sz w:val="28"/>
          <w:szCs w:val="28"/>
        </w:rPr>
        <w:t>1.2.2数据更新。项目期内至少4次数据更新网络市场数据，并对主体数据和客体数据进行维护，删除无效、重复数据，对有效主体进行行业分类确认等。</w:t>
      </w:r>
    </w:p>
    <w:p>
      <w:pPr>
        <w:pStyle w:val="16"/>
        <w:widowControl/>
        <w:tabs>
          <w:tab w:val="center" w:pos="4153"/>
        </w:tabs>
        <w:spacing w:line="480" w:lineRule="exact"/>
        <w:ind w:firstLine="640"/>
        <w:rPr>
          <w:rFonts w:ascii="仿宋" w:hAnsi="仿宋" w:eastAsia="仿宋" w:cs="仿宋"/>
          <w:kern w:val="2"/>
          <w:sz w:val="28"/>
          <w:szCs w:val="28"/>
        </w:rPr>
      </w:pPr>
      <w:r>
        <w:rPr>
          <w:rFonts w:hint="eastAsia" w:ascii="仿宋" w:hAnsi="仿宋" w:eastAsia="仿宋" w:cs="仿宋"/>
          <w:kern w:val="2"/>
          <w:sz w:val="28"/>
          <w:szCs w:val="28"/>
        </w:rPr>
        <w:t>2.江门市网络交易定向监测服务</w:t>
      </w:r>
    </w:p>
    <w:p>
      <w:pPr>
        <w:pStyle w:val="16"/>
        <w:widowControl/>
        <w:tabs>
          <w:tab w:val="center" w:pos="4153"/>
        </w:tabs>
        <w:spacing w:line="480" w:lineRule="exact"/>
        <w:ind w:firstLine="640"/>
        <w:rPr>
          <w:rFonts w:hint="eastAsia" w:ascii="仿宋" w:hAnsi="仿宋" w:eastAsia="仿宋" w:cs="仿宋"/>
          <w:kern w:val="2"/>
          <w:sz w:val="28"/>
          <w:szCs w:val="28"/>
        </w:rPr>
      </w:pPr>
      <w:r>
        <w:rPr>
          <w:rFonts w:hint="eastAsia" w:ascii="仿宋" w:hAnsi="仿宋" w:eastAsia="仿宋" w:cs="仿宋"/>
          <w:kern w:val="2"/>
          <w:sz w:val="28"/>
          <w:szCs w:val="28"/>
        </w:rPr>
        <w:t>2.1月度监测服务。</w:t>
      </w:r>
    </w:p>
    <w:p>
      <w:pPr>
        <w:pStyle w:val="16"/>
        <w:widowControl/>
        <w:tabs>
          <w:tab w:val="center" w:pos="4153"/>
        </w:tabs>
        <w:spacing w:line="480" w:lineRule="exact"/>
        <w:ind w:firstLine="640"/>
        <w:rPr>
          <w:rFonts w:ascii="仿宋" w:hAnsi="仿宋" w:eastAsia="仿宋" w:cs="仿宋"/>
          <w:kern w:val="2"/>
          <w:sz w:val="28"/>
          <w:szCs w:val="28"/>
        </w:rPr>
      </w:pPr>
      <w:r>
        <w:rPr>
          <w:rFonts w:hint="eastAsia" w:ascii="仿宋" w:hAnsi="仿宋" w:eastAsia="仿宋" w:cs="仿宋"/>
          <w:kern w:val="2"/>
          <w:sz w:val="28"/>
          <w:szCs w:val="28"/>
        </w:rPr>
        <w:t>对江门市行政区域内的电子商务平台经营者、平台内经营者以及通过自建网站、其他网络服务销售商品或者提供服务的电子商务经营者的网络交易等行为进行监测、搜索，收集、整理涉嫌违法行为线索，项目周期内开展月度监测服务8次。监测内容包含但不限于电子商务经营者合规性监测；网络集中促销监测；互联网不正当竞争监测；互联网渠道销售的药品、化妆品、医疗器械监测</w:t>
      </w:r>
      <w:r>
        <w:rPr>
          <w:rFonts w:hint="eastAsia" w:ascii="仿宋" w:hAnsi="仿宋" w:eastAsia="仿宋" w:cs="仿宋"/>
          <w:kern w:val="2"/>
          <w:sz w:val="28"/>
          <w:szCs w:val="28"/>
          <w:lang w:eastAsia="zh-CN"/>
        </w:rPr>
        <w:t>；</w:t>
      </w:r>
      <w:r>
        <w:rPr>
          <w:rFonts w:hint="eastAsia" w:ascii="仿宋" w:hAnsi="仿宋" w:eastAsia="仿宋" w:cs="仿宋"/>
          <w:kern w:val="2"/>
          <w:sz w:val="28"/>
          <w:szCs w:val="28"/>
        </w:rPr>
        <w:t>网上滥用、冒用、伪造涉农产品地理标志证明商标行为，销售虚假认证证书、检验检测报告的违法违规行为监测；不依法履行无理由退货义务等侵害消费者权益的违法行为监测；网络禁限售商品监测；其他违反相关法律法规的行为。</w:t>
      </w:r>
    </w:p>
    <w:p>
      <w:pPr>
        <w:pStyle w:val="16"/>
        <w:widowControl/>
        <w:tabs>
          <w:tab w:val="center" w:pos="4153"/>
        </w:tabs>
        <w:spacing w:line="480" w:lineRule="exact"/>
        <w:ind w:firstLine="640"/>
        <w:rPr>
          <w:rFonts w:ascii="仿宋" w:hAnsi="仿宋" w:eastAsia="仿宋" w:cs="仿宋"/>
          <w:kern w:val="2"/>
          <w:sz w:val="28"/>
          <w:szCs w:val="28"/>
        </w:rPr>
      </w:pPr>
      <w:r>
        <w:rPr>
          <w:rFonts w:hint="eastAsia" w:ascii="仿宋" w:hAnsi="仿宋" w:eastAsia="仿宋" w:cs="仿宋"/>
          <w:kern w:val="2"/>
          <w:sz w:val="28"/>
          <w:szCs w:val="28"/>
        </w:rPr>
        <w:t>2.</w:t>
      </w:r>
      <w:r>
        <w:rPr>
          <w:rFonts w:hint="eastAsia" w:ascii="仿宋" w:hAnsi="仿宋" w:eastAsia="仿宋" w:cs="仿宋"/>
          <w:kern w:val="2"/>
          <w:sz w:val="28"/>
          <w:szCs w:val="28"/>
          <w:lang w:val="en-US" w:eastAsia="zh-CN"/>
        </w:rPr>
        <w:t>2</w:t>
      </w:r>
      <w:r>
        <w:rPr>
          <w:rFonts w:hint="eastAsia" w:ascii="仿宋" w:hAnsi="仿宋" w:eastAsia="仿宋" w:cs="仿宋"/>
          <w:kern w:val="2"/>
          <w:sz w:val="28"/>
          <w:szCs w:val="28"/>
        </w:rPr>
        <w:t>网络直播监测服务</w:t>
      </w:r>
    </w:p>
    <w:p>
      <w:pPr>
        <w:pStyle w:val="16"/>
        <w:widowControl/>
        <w:tabs>
          <w:tab w:val="center" w:pos="4153"/>
        </w:tabs>
        <w:spacing w:line="480" w:lineRule="exact"/>
        <w:ind w:firstLine="640"/>
        <w:rPr>
          <w:rFonts w:hint="eastAsia" w:ascii="仿宋" w:hAnsi="仿宋" w:eastAsia="仿宋" w:cs="仿宋"/>
          <w:kern w:val="2"/>
          <w:sz w:val="28"/>
          <w:szCs w:val="28"/>
        </w:rPr>
      </w:pPr>
      <w:r>
        <w:rPr>
          <w:rFonts w:hint="eastAsia" w:ascii="仿宋" w:hAnsi="仿宋" w:eastAsia="仿宋" w:cs="仿宋"/>
          <w:kern w:val="2"/>
          <w:sz w:val="28"/>
          <w:szCs w:val="28"/>
        </w:rPr>
        <w:t>对抖音、快手、视频号、淘宝等主要直播平台的江门市辖区内直播间，包含主播、MCN机构、短视频、网店、商品、直播营销活动等实时进行采集监测,及时进行数据清洗整理，完善直播电商主体数据库，并通过大数据监测模型及时发现、在线固证、推送涉嫌违法线索。</w:t>
      </w:r>
    </w:p>
    <w:p>
      <w:pPr>
        <w:pStyle w:val="16"/>
        <w:widowControl/>
        <w:tabs>
          <w:tab w:val="center" w:pos="4153"/>
        </w:tabs>
        <w:spacing w:line="480" w:lineRule="exact"/>
        <w:ind w:firstLine="640"/>
        <w:rPr>
          <w:rFonts w:hint="eastAsia" w:ascii="仿宋" w:hAnsi="仿宋" w:eastAsia="仿宋" w:cs="仿宋"/>
          <w:kern w:val="2"/>
          <w:sz w:val="28"/>
          <w:szCs w:val="28"/>
        </w:rPr>
      </w:pPr>
      <w:r>
        <w:rPr>
          <w:rFonts w:hint="eastAsia" w:ascii="仿宋" w:hAnsi="仿宋" w:eastAsia="仿宋" w:cs="仿宋"/>
          <w:kern w:val="2"/>
          <w:sz w:val="28"/>
          <w:szCs w:val="28"/>
        </w:rPr>
        <w:t>项目周期内开展监测服务5次，监测总时长不得少于400小时；对于未发现违法线索的视频文件存储不少于3个月，对于发现违法线索的视频文件存储不少于1年。</w:t>
      </w:r>
    </w:p>
    <w:p>
      <w:pPr>
        <w:pStyle w:val="16"/>
        <w:widowControl/>
        <w:tabs>
          <w:tab w:val="center" w:pos="4153"/>
        </w:tabs>
        <w:spacing w:line="480" w:lineRule="exact"/>
        <w:ind w:firstLine="640"/>
        <w:rPr>
          <w:rFonts w:hint="eastAsia" w:ascii="仿宋" w:hAnsi="仿宋" w:eastAsia="仿宋" w:cs="仿宋"/>
          <w:kern w:val="2"/>
          <w:sz w:val="28"/>
          <w:szCs w:val="28"/>
        </w:rPr>
      </w:pPr>
      <w:r>
        <w:rPr>
          <w:rFonts w:hint="eastAsia" w:ascii="仿宋" w:hAnsi="仿宋" w:eastAsia="仿宋" w:cs="仿宋"/>
          <w:kern w:val="2"/>
          <w:sz w:val="28"/>
          <w:szCs w:val="28"/>
        </w:rPr>
        <w:t>本项目工作可独立开展，也可结合“6.18”“双11”等其他监测活动合并开展。</w:t>
      </w:r>
    </w:p>
    <w:p>
      <w:pPr>
        <w:pStyle w:val="16"/>
        <w:widowControl/>
        <w:tabs>
          <w:tab w:val="center" w:pos="4153"/>
        </w:tabs>
        <w:spacing w:line="480" w:lineRule="exact"/>
        <w:ind w:firstLine="640"/>
        <w:rPr>
          <w:rFonts w:hint="eastAsia" w:ascii="仿宋" w:hAnsi="仿宋" w:eastAsia="仿宋" w:cs="仿宋"/>
          <w:kern w:val="2"/>
          <w:sz w:val="28"/>
          <w:szCs w:val="28"/>
        </w:rPr>
      </w:pPr>
      <w:r>
        <w:rPr>
          <w:rFonts w:hint="eastAsia" w:ascii="仿宋" w:hAnsi="仿宋" w:eastAsia="仿宋" w:cs="仿宋"/>
          <w:i w:val="0"/>
          <w:iCs w:val="0"/>
          <w:caps w:val="0"/>
          <w:color w:val="0F1115"/>
          <w:spacing w:val="0"/>
          <w:kern w:val="0"/>
          <w:sz w:val="28"/>
          <w:szCs w:val="28"/>
          <w:shd w:val="clear" w:fill="FFFFFF"/>
          <w:lang w:val="en-US" w:eastAsia="zh-CN" w:bidi="ar"/>
        </w:rPr>
        <w:t>“监测服务应实现对直播行为的自动化采集与存证，存证数据包应符合《电子数据存证技术规范》相关要求，并可直接用于司法鉴定。”</w:t>
      </w:r>
    </w:p>
    <w:p>
      <w:pPr>
        <w:pStyle w:val="16"/>
        <w:widowControl/>
        <w:tabs>
          <w:tab w:val="center" w:pos="4153"/>
        </w:tabs>
        <w:spacing w:line="480" w:lineRule="exact"/>
        <w:ind w:firstLine="640"/>
        <w:rPr>
          <w:rFonts w:ascii="仿宋" w:hAnsi="仿宋" w:eastAsia="仿宋" w:cs="仿宋"/>
          <w:kern w:val="2"/>
          <w:sz w:val="28"/>
          <w:szCs w:val="28"/>
        </w:rPr>
      </w:pPr>
      <w:r>
        <w:rPr>
          <w:rFonts w:hint="eastAsia" w:ascii="仿宋" w:hAnsi="仿宋" w:eastAsia="仿宋" w:cs="仿宋"/>
          <w:kern w:val="2"/>
          <w:sz w:val="28"/>
          <w:szCs w:val="28"/>
        </w:rPr>
        <w:t>2.</w:t>
      </w:r>
      <w:r>
        <w:rPr>
          <w:rFonts w:hint="eastAsia" w:ascii="仿宋" w:hAnsi="仿宋" w:eastAsia="仿宋" w:cs="仿宋"/>
          <w:kern w:val="2"/>
          <w:sz w:val="28"/>
          <w:szCs w:val="28"/>
          <w:lang w:val="en-US" w:eastAsia="zh-CN"/>
        </w:rPr>
        <w:t>3</w:t>
      </w:r>
      <w:r>
        <w:rPr>
          <w:rFonts w:hint="eastAsia" w:ascii="仿宋" w:hAnsi="仿宋" w:eastAsia="仿宋" w:cs="仿宋"/>
          <w:kern w:val="2"/>
          <w:sz w:val="28"/>
          <w:szCs w:val="28"/>
        </w:rPr>
        <w:t>网络餐饮专项监测服务</w:t>
      </w:r>
    </w:p>
    <w:p>
      <w:pPr>
        <w:pStyle w:val="16"/>
        <w:widowControl/>
        <w:tabs>
          <w:tab w:val="center" w:pos="4153"/>
        </w:tabs>
        <w:spacing w:line="480" w:lineRule="exact"/>
        <w:ind w:firstLine="640"/>
        <w:rPr>
          <w:rFonts w:ascii="仿宋" w:hAnsi="仿宋" w:eastAsia="仿宋" w:cs="仿宋"/>
          <w:kern w:val="2"/>
          <w:sz w:val="28"/>
          <w:szCs w:val="28"/>
        </w:rPr>
      </w:pPr>
      <w:r>
        <w:rPr>
          <w:rFonts w:hint="eastAsia" w:ascii="仿宋" w:hAnsi="仿宋" w:eastAsia="仿宋" w:cs="仿宋"/>
          <w:kern w:val="2"/>
          <w:sz w:val="28"/>
          <w:szCs w:val="28"/>
        </w:rPr>
        <w:t>定时采集淘宝闪购、美团、京东秒送、捷汇校园等网络餐饮平台上涉及江门市的入驻商家信息，含营业执照、食品经营许可证、店铺名称、地址、经营餐品，销量等。判断入网餐饮单位是否存在未公示证照、证照超期、证照造假</w:t>
      </w:r>
      <w:r>
        <w:rPr>
          <w:rFonts w:hint="eastAsia" w:ascii="仿宋" w:hAnsi="仿宋" w:eastAsia="仿宋" w:cs="仿宋"/>
          <w:kern w:val="2"/>
          <w:sz w:val="28"/>
          <w:szCs w:val="28"/>
          <w:lang w:eastAsia="zh-CN"/>
        </w:rPr>
        <w:t>、</w:t>
      </w:r>
      <w:r>
        <w:rPr>
          <w:rFonts w:hint="eastAsia" w:ascii="仿宋" w:hAnsi="仿宋" w:eastAsia="仿宋" w:cs="仿宋"/>
          <w:kern w:val="2"/>
          <w:sz w:val="28"/>
          <w:szCs w:val="28"/>
        </w:rPr>
        <w:t>证照不符，超范围经营</w:t>
      </w:r>
      <w:r>
        <w:rPr>
          <w:rFonts w:hint="eastAsia" w:ascii="仿宋" w:hAnsi="仿宋" w:eastAsia="仿宋" w:cs="仿宋"/>
          <w:kern w:val="2"/>
          <w:sz w:val="28"/>
          <w:szCs w:val="28"/>
          <w:lang w:eastAsia="zh-CN"/>
        </w:rPr>
        <w:t>，经营野生动物、长江渔获物国家禁止经营的菜品</w:t>
      </w:r>
      <w:r>
        <w:rPr>
          <w:rFonts w:hint="eastAsia" w:ascii="仿宋" w:hAnsi="仿宋" w:eastAsia="仿宋" w:cs="仿宋"/>
          <w:kern w:val="2"/>
          <w:sz w:val="28"/>
          <w:szCs w:val="28"/>
        </w:rPr>
        <w:t>等违规行为；分析筛选一证多用的入网餐饮商家信息。项目周期内开展监测服务4次。</w:t>
      </w:r>
    </w:p>
    <w:p>
      <w:pPr>
        <w:pStyle w:val="16"/>
        <w:widowControl/>
        <w:tabs>
          <w:tab w:val="center" w:pos="4153"/>
        </w:tabs>
        <w:spacing w:line="480" w:lineRule="exact"/>
        <w:ind w:firstLine="640"/>
        <w:rPr>
          <w:rFonts w:hint="eastAsia" w:ascii="仿宋" w:hAnsi="仿宋" w:eastAsia="仿宋" w:cs="仿宋"/>
          <w:kern w:val="2"/>
          <w:sz w:val="28"/>
          <w:szCs w:val="28"/>
        </w:rPr>
      </w:pPr>
      <w:r>
        <w:rPr>
          <w:rFonts w:hint="eastAsia" w:ascii="仿宋" w:hAnsi="仿宋" w:eastAsia="仿宋" w:cs="仿宋"/>
          <w:kern w:val="2"/>
          <w:sz w:val="28"/>
          <w:szCs w:val="28"/>
        </w:rPr>
        <w:t>2.4 本地网络交易平台合规性监测</w:t>
      </w:r>
    </w:p>
    <w:p>
      <w:pPr>
        <w:pStyle w:val="16"/>
        <w:widowControl/>
        <w:tabs>
          <w:tab w:val="center" w:pos="4153"/>
        </w:tabs>
        <w:spacing w:line="480" w:lineRule="exact"/>
        <w:ind w:firstLine="640"/>
        <w:rPr>
          <w:rFonts w:hint="eastAsia" w:ascii="仿宋" w:hAnsi="仿宋" w:eastAsia="仿宋" w:cs="仿宋"/>
          <w:kern w:val="2"/>
          <w:sz w:val="28"/>
          <w:szCs w:val="28"/>
        </w:rPr>
      </w:pPr>
      <w:r>
        <w:rPr>
          <w:rFonts w:hint="eastAsia" w:ascii="仿宋" w:hAnsi="仿宋" w:eastAsia="仿宋" w:cs="仿宋"/>
          <w:kern w:val="2"/>
          <w:sz w:val="28"/>
          <w:szCs w:val="28"/>
        </w:rPr>
        <w:t>对江门市网络交易平台及其平台内经营者进行合规性监测，包括是否亮照亮证亮规则、是否对自营业务进行标记区分，是否有为消费者提供评价途径等，并重点对平台规则协议开展监测，采集涉嫌违反《电子商务法》《消费者权益保护法》《网络交易监督管理办法》《合同行政监督管理办法》等法律法规的信息。项目周期内开展监测服务1次。</w:t>
      </w:r>
    </w:p>
    <w:p>
      <w:pPr>
        <w:pStyle w:val="16"/>
        <w:widowControl/>
        <w:tabs>
          <w:tab w:val="center" w:pos="4153"/>
        </w:tabs>
        <w:spacing w:line="480" w:lineRule="exact"/>
        <w:ind w:firstLine="640"/>
        <w:rPr>
          <w:rFonts w:hint="eastAsia" w:ascii="仿宋" w:hAnsi="仿宋" w:eastAsia="仿宋" w:cs="仿宋"/>
          <w:kern w:val="2"/>
          <w:sz w:val="28"/>
          <w:szCs w:val="28"/>
        </w:rPr>
      </w:pPr>
      <w:r>
        <w:rPr>
          <w:rFonts w:hint="eastAsia" w:ascii="仿宋" w:hAnsi="仿宋" w:eastAsia="仿宋" w:cs="仿宋"/>
          <w:kern w:val="2"/>
          <w:sz w:val="28"/>
          <w:szCs w:val="28"/>
        </w:rPr>
        <w:t>2.5 网络商品价格监测</w:t>
      </w:r>
    </w:p>
    <w:p>
      <w:pPr>
        <w:pStyle w:val="16"/>
        <w:widowControl/>
        <w:tabs>
          <w:tab w:val="center" w:pos="4153"/>
        </w:tabs>
        <w:spacing w:line="480" w:lineRule="exact"/>
        <w:ind w:firstLine="640"/>
        <w:rPr>
          <w:rFonts w:hint="eastAsia" w:ascii="仿宋" w:hAnsi="仿宋" w:eastAsia="仿宋" w:cs="仿宋"/>
          <w:kern w:val="2"/>
          <w:sz w:val="28"/>
          <w:szCs w:val="28"/>
        </w:rPr>
      </w:pPr>
      <w:r>
        <w:rPr>
          <w:rFonts w:hint="eastAsia" w:ascii="仿宋" w:hAnsi="仿宋" w:eastAsia="仿宋" w:cs="仿宋"/>
          <w:kern w:val="2"/>
          <w:sz w:val="28"/>
          <w:szCs w:val="28"/>
        </w:rPr>
        <w:t>针对重点生活必需品、旅游黄金周重点酒店景点价格等商品或服务的价格开展监测，具体以实际业务需求为准。项目周期内开展监测服务2次。</w:t>
      </w:r>
    </w:p>
    <w:p>
      <w:pPr>
        <w:pStyle w:val="16"/>
        <w:widowControl/>
        <w:tabs>
          <w:tab w:val="center" w:pos="4153"/>
        </w:tabs>
        <w:spacing w:line="480" w:lineRule="exact"/>
        <w:ind w:firstLine="640"/>
        <w:rPr>
          <w:rFonts w:ascii="仿宋" w:hAnsi="仿宋" w:eastAsia="仿宋" w:cs="仿宋"/>
          <w:kern w:val="2"/>
          <w:sz w:val="28"/>
          <w:szCs w:val="28"/>
        </w:rPr>
      </w:pPr>
      <w:r>
        <w:rPr>
          <w:rFonts w:hint="eastAsia" w:ascii="仿宋" w:hAnsi="仿宋" w:eastAsia="仿宋" w:cs="仿宋"/>
          <w:kern w:val="2"/>
          <w:sz w:val="28"/>
          <w:szCs w:val="28"/>
        </w:rPr>
        <w:t>2.6监测结果运用。</w:t>
      </w:r>
    </w:p>
    <w:p>
      <w:pPr>
        <w:pStyle w:val="16"/>
        <w:widowControl/>
        <w:tabs>
          <w:tab w:val="center" w:pos="4153"/>
        </w:tabs>
        <w:spacing w:line="480" w:lineRule="exact"/>
        <w:ind w:firstLine="640"/>
        <w:rPr>
          <w:rFonts w:ascii="仿宋" w:hAnsi="仿宋" w:eastAsia="仿宋" w:cs="仿宋"/>
          <w:kern w:val="2"/>
          <w:sz w:val="28"/>
          <w:szCs w:val="28"/>
        </w:rPr>
      </w:pPr>
      <w:r>
        <w:rPr>
          <w:rFonts w:hint="eastAsia" w:ascii="仿宋" w:hAnsi="仿宋" w:eastAsia="仿宋" w:cs="仿宋"/>
          <w:kern w:val="2"/>
          <w:sz w:val="28"/>
          <w:szCs w:val="28"/>
        </w:rPr>
        <w:t>月度监测报告：每月生成全面数据、分类数据，并形成数据分析报告。</w:t>
      </w:r>
    </w:p>
    <w:p>
      <w:pPr>
        <w:pStyle w:val="16"/>
        <w:widowControl/>
        <w:tabs>
          <w:tab w:val="center" w:pos="4153"/>
        </w:tabs>
        <w:spacing w:line="480" w:lineRule="exact"/>
        <w:ind w:firstLine="640"/>
        <w:rPr>
          <w:rFonts w:ascii="仿宋" w:hAnsi="仿宋" w:eastAsia="仿宋" w:cs="仿宋"/>
          <w:kern w:val="2"/>
          <w:sz w:val="28"/>
          <w:szCs w:val="28"/>
        </w:rPr>
      </w:pPr>
      <w:r>
        <w:rPr>
          <w:rFonts w:hint="eastAsia" w:ascii="仿宋" w:hAnsi="仿宋" w:eastAsia="仿宋" w:cs="仿宋"/>
          <w:kern w:val="2"/>
          <w:sz w:val="28"/>
          <w:szCs w:val="28"/>
        </w:rPr>
        <w:t>定向监测报告：根据定向监测工作任务和监管工作需要开展监测，并根据要求形成数据分析报告。</w:t>
      </w:r>
    </w:p>
    <w:p>
      <w:pPr>
        <w:pStyle w:val="16"/>
        <w:widowControl/>
        <w:tabs>
          <w:tab w:val="center" w:pos="4153"/>
        </w:tabs>
        <w:spacing w:line="480" w:lineRule="exact"/>
        <w:ind w:firstLine="640"/>
        <w:rPr>
          <w:rFonts w:ascii="仿宋" w:hAnsi="仿宋" w:eastAsia="仿宋" w:cs="仿宋"/>
          <w:kern w:val="2"/>
          <w:sz w:val="28"/>
          <w:szCs w:val="28"/>
        </w:rPr>
      </w:pPr>
      <w:r>
        <w:rPr>
          <w:rFonts w:hint="eastAsia" w:ascii="仿宋" w:hAnsi="仿宋" w:eastAsia="仿宋" w:cs="仿宋"/>
          <w:kern w:val="2"/>
          <w:sz w:val="28"/>
          <w:szCs w:val="28"/>
        </w:rPr>
        <w:t>涉嫌违法线索：以“涉嫌违法数据”的形式提供标准版电子表格，并留存相关电子取证文书。</w:t>
      </w:r>
    </w:p>
    <w:p>
      <w:pPr>
        <w:pStyle w:val="16"/>
        <w:widowControl/>
        <w:tabs>
          <w:tab w:val="center" w:pos="4153"/>
        </w:tabs>
        <w:spacing w:line="480" w:lineRule="exact"/>
        <w:ind w:firstLine="640"/>
        <w:rPr>
          <w:rFonts w:ascii="仿宋" w:hAnsi="仿宋" w:eastAsia="仿宋" w:cs="仿宋"/>
          <w:kern w:val="2"/>
          <w:sz w:val="28"/>
          <w:szCs w:val="28"/>
        </w:rPr>
      </w:pPr>
      <w:r>
        <w:rPr>
          <w:rFonts w:hint="eastAsia" w:ascii="仿宋" w:hAnsi="仿宋" w:eastAsia="仿宋" w:cs="仿宋"/>
          <w:kern w:val="2"/>
          <w:sz w:val="28"/>
          <w:szCs w:val="28"/>
        </w:rPr>
        <w:t>3.信息系统的维护、更新服务</w:t>
      </w:r>
    </w:p>
    <w:p>
      <w:pPr>
        <w:pStyle w:val="16"/>
        <w:widowControl/>
        <w:tabs>
          <w:tab w:val="center" w:pos="4153"/>
        </w:tabs>
        <w:spacing w:line="480" w:lineRule="exact"/>
        <w:ind w:firstLine="640"/>
        <w:rPr>
          <w:rFonts w:ascii="仿宋" w:hAnsi="仿宋" w:eastAsia="仿宋" w:cs="仿宋"/>
          <w:kern w:val="2"/>
          <w:sz w:val="28"/>
          <w:szCs w:val="28"/>
        </w:rPr>
      </w:pPr>
      <w:r>
        <w:rPr>
          <w:rFonts w:hint="eastAsia" w:ascii="仿宋" w:hAnsi="仿宋" w:eastAsia="仿宋" w:cs="仿宋"/>
          <w:kern w:val="2"/>
          <w:sz w:val="28"/>
          <w:szCs w:val="28"/>
        </w:rPr>
        <w:t>为承载基础数据库、商品搜索功能等具体日常工作应用场景，维护、更新信息系统，具体工作包括：</w:t>
      </w:r>
    </w:p>
    <w:p>
      <w:pPr>
        <w:pStyle w:val="16"/>
        <w:widowControl/>
        <w:tabs>
          <w:tab w:val="center" w:pos="4153"/>
        </w:tabs>
        <w:spacing w:line="480" w:lineRule="exact"/>
        <w:ind w:firstLine="640"/>
        <w:rPr>
          <w:rFonts w:ascii="仿宋" w:hAnsi="仿宋" w:eastAsia="仿宋" w:cs="仿宋"/>
          <w:kern w:val="2"/>
          <w:sz w:val="28"/>
          <w:szCs w:val="28"/>
        </w:rPr>
      </w:pPr>
      <w:r>
        <w:rPr>
          <w:rFonts w:hint="eastAsia" w:ascii="仿宋" w:hAnsi="仿宋" w:eastAsia="仿宋" w:cs="仿宋"/>
          <w:kern w:val="2"/>
          <w:sz w:val="28"/>
          <w:szCs w:val="28"/>
        </w:rPr>
        <w:t>3.1系统建设：建立一个收录、展示数据的载体平台；</w:t>
      </w:r>
    </w:p>
    <w:p>
      <w:pPr>
        <w:pStyle w:val="16"/>
        <w:widowControl/>
        <w:tabs>
          <w:tab w:val="center" w:pos="4153"/>
        </w:tabs>
        <w:spacing w:line="480" w:lineRule="exact"/>
        <w:ind w:firstLine="640"/>
        <w:rPr>
          <w:rFonts w:ascii="仿宋" w:hAnsi="仿宋" w:eastAsia="仿宋" w:cs="仿宋"/>
          <w:kern w:val="2"/>
          <w:sz w:val="28"/>
          <w:szCs w:val="28"/>
        </w:rPr>
      </w:pPr>
      <w:r>
        <w:rPr>
          <w:rFonts w:hint="eastAsia" w:ascii="仿宋" w:hAnsi="仿宋" w:eastAsia="仿宋" w:cs="仿宋"/>
          <w:kern w:val="2"/>
          <w:sz w:val="28"/>
          <w:szCs w:val="28"/>
        </w:rPr>
        <w:t>3.2搜索引擎功能：实现对现有数据进行实时搜索查询，查询内容包括网店网站主体信息、网络交易商品信息等。</w:t>
      </w:r>
    </w:p>
    <w:p>
      <w:pPr>
        <w:pStyle w:val="16"/>
        <w:widowControl/>
        <w:tabs>
          <w:tab w:val="center" w:pos="4153"/>
        </w:tabs>
        <w:spacing w:line="480" w:lineRule="exact"/>
        <w:ind w:firstLine="640"/>
        <w:rPr>
          <w:rFonts w:ascii="仿宋" w:hAnsi="仿宋" w:eastAsia="仿宋" w:cs="仿宋"/>
          <w:kern w:val="2"/>
          <w:sz w:val="28"/>
          <w:szCs w:val="28"/>
        </w:rPr>
      </w:pPr>
      <w:r>
        <w:rPr>
          <w:rFonts w:hint="eastAsia" w:ascii="仿宋" w:hAnsi="仿宋" w:eastAsia="仿宋" w:cs="仿宋"/>
          <w:kern w:val="2"/>
          <w:sz w:val="28"/>
          <w:szCs w:val="28"/>
        </w:rPr>
        <w:t>3.3直播监测功能：支持自主选择定向监测辖区内直播间，并研判直播违法行为</w:t>
      </w:r>
    </w:p>
    <w:p>
      <w:pPr>
        <w:pStyle w:val="16"/>
        <w:widowControl/>
        <w:tabs>
          <w:tab w:val="center" w:pos="4153"/>
        </w:tabs>
        <w:spacing w:line="480" w:lineRule="exact"/>
        <w:ind w:firstLine="640"/>
        <w:rPr>
          <w:rFonts w:ascii="仿宋" w:hAnsi="仿宋" w:eastAsia="仿宋" w:cs="仿宋"/>
          <w:kern w:val="2"/>
          <w:sz w:val="28"/>
          <w:szCs w:val="28"/>
        </w:rPr>
      </w:pPr>
      <w:r>
        <w:rPr>
          <w:rFonts w:hint="eastAsia" w:ascii="仿宋" w:hAnsi="仿宋" w:eastAsia="仿宋" w:cs="仿宋"/>
          <w:kern w:val="2"/>
          <w:sz w:val="28"/>
          <w:szCs w:val="28"/>
        </w:rPr>
        <w:t>4.在线取证固证工具</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执法工具支持网络监管电子数据存证取证服务。根据网络交易违法线索的取证存证工作需要，提供对涉嫌违法违规的网络交易主体和商品信息进行取证、固定和存证的服务，并确保存取数据的合法性、有效性、真实性，所存取的数据可提交申请并出具相应的报告。</w:t>
      </w:r>
      <w:bookmarkEnd w:id="0"/>
      <w:bookmarkEnd w:id="1"/>
    </w:p>
    <w:p>
      <w:pPr>
        <w:spacing w:line="480" w:lineRule="exact"/>
        <w:ind w:firstLine="0" w:firstLineChars="0"/>
        <w:rPr>
          <w:rFonts w:ascii="仿宋" w:hAnsi="仿宋" w:eastAsia="仿宋" w:cs="仿宋"/>
          <w:b/>
          <w:bCs/>
          <w:sz w:val="28"/>
          <w:szCs w:val="28"/>
        </w:rPr>
      </w:pPr>
      <w:r>
        <w:rPr>
          <w:rFonts w:hint="eastAsia" w:ascii="仿宋" w:hAnsi="仿宋" w:eastAsia="仿宋" w:cs="仿宋"/>
          <w:b/>
          <w:bCs/>
          <w:sz w:val="28"/>
          <w:szCs w:val="28"/>
        </w:rPr>
        <w:t>第二条  合同期限、项目费用及支付方式</w:t>
      </w:r>
    </w:p>
    <w:p>
      <w:pPr>
        <w:numPr>
          <w:ilvl w:val="0"/>
          <w:numId w:val="1"/>
        </w:numPr>
        <w:spacing w:line="480" w:lineRule="exact"/>
        <w:rPr>
          <w:rFonts w:ascii="仿宋" w:hAnsi="仿宋" w:eastAsia="仿宋" w:cs="仿宋"/>
          <w:sz w:val="28"/>
          <w:szCs w:val="28"/>
        </w:rPr>
      </w:pPr>
      <w:r>
        <w:rPr>
          <w:rFonts w:hint="eastAsia" w:ascii="仿宋_GB2312" w:hAnsi="仿宋_GB2312" w:cs="仿宋_GB2312"/>
          <w:sz w:val="28"/>
          <w:szCs w:val="28"/>
        </w:rPr>
        <w:t>合同期限</w:t>
      </w:r>
    </w:p>
    <w:p>
      <w:pPr>
        <w:numPr>
          <w:ilvl w:val="-1"/>
          <w:numId w:val="0"/>
        </w:numPr>
        <w:spacing w:line="480" w:lineRule="exact"/>
        <w:ind w:left="420" w:firstLine="0"/>
        <w:rPr>
          <w:rFonts w:ascii="仿宋" w:hAnsi="仿宋" w:eastAsia="仿宋" w:cs="仿宋"/>
          <w:sz w:val="28"/>
          <w:szCs w:val="28"/>
        </w:rPr>
      </w:pPr>
      <w:r>
        <w:rPr>
          <w:rFonts w:hint="eastAsia" w:ascii="仿宋" w:hAnsi="仿宋" w:eastAsia="仿宋" w:cs="仿宋"/>
          <w:color w:val="000000"/>
          <w:sz w:val="28"/>
          <w:szCs w:val="28"/>
        </w:rPr>
        <w:t>自本合同签订生效之日</w:t>
      </w:r>
      <w:r>
        <w:rPr>
          <w:rFonts w:hint="eastAsia" w:ascii="仿宋" w:hAnsi="仿宋" w:eastAsia="仿宋" w:cs="仿宋"/>
          <w:sz w:val="28"/>
          <w:szCs w:val="28"/>
        </w:rPr>
        <w:t>起至202</w:t>
      </w:r>
      <w:r>
        <w:rPr>
          <w:rFonts w:hint="eastAsia" w:ascii="仿宋" w:hAnsi="仿宋" w:eastAsia="仿宋" w:cs="仿宋"/>
          <w:sz w:val="28"/>
          <w:szCs w:val="28"/>
          <w:lang w:val="en-US" w:eastAsia="zh-CN"/>
        </w:rPr>
        <w:t>6</w:t>
      </w:r>
      <w:r>
        <w:rPr>
          <w:rFonts w:hint="eastAsia" w:ascii="仿宋" w:hAnsi="仿宋" w:eastAsia="仿宋" w:cs="仿宋"/>
          <w:sz w:val="28"/>
          <w:szCs w:val="28"/>
        </w:rPr>
        <w:t>年12月15日。</w:t>
      </w:r>
    </w:p>
    <w:p>
      <w:pPr>
        <w:numPr>
          <w:ilvl w:val="0"/>
          <w:numId w:val="1"/>
        </w:numPr>
        <w:spacing w:line="480" w:lineRule="exact"/>
        <w:rPr>
          <w:rFonts w:ascii="仿宋_GB2312" w:hAnsi="仿宋_GB2312" w:cs="仿宋_GB2312"/>
          <w:sz w:val="28"/>
          <w:szCs w:val="28"/>
        </w:rPr>
      </w:pPr>
      <w:r>
        <w:rPr>
          <w:rFonts w:hint="eastAsia" w:ascii="仿宋_GB2312" w:hAnsi="仿宋_GB2312" w:cs="仿宋_GB2312"/>
          <w:sz w:val="28"/>
          <w:szCs w:val="28"/>
        </w:rPr>
        <w:t>项目费用</w:t>
      </w:r>
    </w:p>
    <w:p>
      <w:pPr>
        <w:numPr>
          <w:ilvl w:val="-1"/>
          <w:numId w:val="0"/>
        </w:numPr>
        <w:spacing w:line="480" w:lineRule="exact"/>
        <w:ind w:firstLineChars="150"/>
        <w:rPr>
          <w:rFonts w:ascii="仿宋" w:hAnsi="仿宋" w:eastAsia="仿宋" w:cs="仿宋"/>
          <w:sz w:val="28"/>
          <w:szCs w:val="28"/>
        </w:rPr>
      </w:pPr>
      <w:r>
        <w:rPr>
          <w:rFonts w:hint="eastAsia" w:ascii="仿宋_GB2312" w:hAnsi="仿宋_GB2312" w:cs="仿宋_GB2312"/>
          <w:sz w:val="28"/>
          <w:szCs w:val="28"/>
        </w:rPr>
        <w:t>该项目的</w:t>
      </w:r>
      <w:r>
        <w:rPr>
          <w:rFonts w:hint="eastAsia" w:ascii="仿宋_GB2312" w:hAnsi="仿宋_GB2312" w:cs="仿宋_GB2312"/>
          <w:color w:val="000000"/>
          <w:sz w:val="28"/>
          <w:szCs w:val="28"/>
        </w:rPr>
        <w:t>总费用为</w:t>
      </w:r>
      <w:r>
        <w:rPr>
          <w:rFonts w:hint="eastAsia" w:ascii="仿宋_GB2312" w:hAnsi="仿宋_GB2312" w:cs="仿宋_GB2312"/>
          <w:bCs/>
          <w:sz w:val="28"/>
          <w:szCs w:val="28"/>
        </w:rPr>
        <w:t>人民币壹拾柒万元整（￥1</w:t>
      </w:r>
      <w:r>
        <w:rPr>
          <w:rFonts w:hint="eastAsia" w:ascii="仿宋_GB2312" w:hAnsi="仿宋_GB2312" w:cs="仿宋_GB2312"/>
          <w:bCs/>
          <w:sz w:val="28"/>
          <w:szCs w:val="28"/>
          <w:lang w:val="en-US" w:eastAsia="zh-CN"/>
        </w:rPr>
        <w:t>7</w:t>
      </w:r>
      <w:r>
        <w:rPr>
          <w:rFonts w:hint="eastAsia" w:ascii="仿宋_GB2312" w:hAnsi="仿宋_GB2312" w:cs="仿宋_GB2312"/>
          <w:bCs/>
          <w:sz w:val="28"/>
          <w:szCs w:val="28"/>
        </w:rPr>
        <w:t>0000.00元）</w:t>
      </w:r>
      <w:r>
        <w:rPr>
          <w:rFonts w:hint="eastAsia" w:ascii="仿宋_GB2312" w:hAnsi="仿宋_GB2312" w:cs="仿宋_GB2312"/>
          <w:bCs/>
          <w:color w:val="666666"/>
          <w:sz w:val="28"/>
          <w:szCs w:val="28"/>
          <w:shd w:val="clear" w:color="auto" w:fill="FFFFFF"/>
        </w:rPr>
        <w:t>。</w:t>
      </w:r>
      <w:r>
        <w:rPr>
          <w:rFonts w:hint="eastAsia" w:ascii="仿宋_GB2312" w:hAnsi="仿宋_GB2312" w:cs="仿宋_GB2312"/>
          <w:sz w:val="28"/>
          <w:szCs w:val="28"/>
        </w:rPr>
        <w:t>项目总费用为含税价，且已包含甲方应付所有费用，甲方无需另外支付其他费用。</w:t>
      </w:r>
    </w:p>
    <w:p>
      <w:pPr>
        <w:numPr>
          <w:ilvl w:val="0"/>
          <w:numId w:val="1"/>
        </w:numPr>
        <w:spacing w:line="480" w:lineRule="exact"/>
        <w:rPr>
          <w:rFonts w:ascii="仿宋" w:hAnsi="仿宋" w:eastAsia="仿宋" w:cs="仿宋"/>
          <w:sz w:val="28"/>
          <w:szCs w:val="28"/>
        </w:rPr>
      </w:pPr>
      <w:r>
        <w:rPr>
          <w:rFonts w:hint="eastAsia" w:ascii="仿宋" w:hAnsi="仿宋" w:eastAsia="仿宋" w:cs="仿宋"/>
          <w:color w:val="000000"/>
          <w:sz w:val="28"/>
          <w:szCs w:val="28"/>
        </w:rPr>
        <w:t>付款时间、方式</w:t>
      </w:r>
      <w:r>
        <w:rPr>
          <w:rFonts w:hint="eastAsia" w:ascii="仿宋" w:hAnsi="仿宋" w:eastAsia="仿宋" w:cs="仿宋"/>
          <w:sz w:val="28"/>
          <w:szCs w:val="28"/>
        </w:rPr>
        <w:t>。</w:t>
      </w:r>
    </w:p>
    <w:p>
      <w:pPr>
        <w:spacing w:line="480" w:lineRule="exact"/>
        <w:ind w:firstLine="560" w:firstLineChars="200"/>
        <w:rPr>
          <w:rFonts w:ascii="仿宋" w:hAnsi="仿宋" w:eastAsia="仿宋" w:cs="仿宋"/>
          <w:sz w:val="28"/>
          <w:szCs w:val="28"/>
        </w:rPr>
      </w:pPr>
      <w:r>
        <w:rPr>
          <w:rFonts w:hint="eastAsia" w:ascii="仿宋_GB2312" w:hAnsi="仿宋_GB2312" w:cs="仿宋_GB2312"/>
          <w:sz w:val="28"/>
          <w:szCs w:val="28"/>
        </w:rPr>
        <w:t>双方签订合同后，甲方分</w:t>
      </w:r>
      <w:r>
        <w:rPr>
          <w:rFonts w:hint="eastAsia" w:ascii="仿宋" w:hAnsi="仿宋" w:eastAsia="仿宋" w:cs="仿宋"/>
          <w:sz w:val="28"/>
          <w:szCs w:val="28"/>
        </w:rPr>
        <w:t>两</w:t>
      </w:r>
      <w:r>
        <w:rPr>
          <w:rFonts w:hint="eastAsia" w:ascii="仿宋_GB2312" w:hAnsi="仿宋_GB2312" w:cs="仿宋_GB2312"/>
          <w:sz w:val="28"/>
          <w:szCs w:val="28"/>
        </w:rPr>
        <w:t>期支付相应的款项给乙方：</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第一期：甲、乙双方签订本合同后，甲方收到乙方开具的相对应金额发票之日起30个工作日内，向乙方支付项目总费用的50%，即</w:t>
      </w:r>
      <w:r>
        <w:rPr>
          <w:rFonts w:hint="eastAsia" w:ascii="仿宋" w:hAnsi="仿宋" w:eastAsia="仿宋" w:cs="仿宋"/>
          <w:sz w:val="28"/>
          <w:szCs w:val="28"/>
          <w:u w:val="single"/>
        </w:rPr>
        <w:t>人民币捌万伍仟整（</w:t>
      </w:r>
      <w:r>
        <w:rPr>
          <w:rFonts w:hint="eastAsia" w:ascii="仿宋" w:hAnsi="仿宋" w:eastAsia="仿宋" w:cs="仿宋"/>
          <w:sz w:val="28"/>
          <w:szCs w:val="28"/>
        </w:rPr>
        <w:t>￥</w:t>
      </w:r>
      <w:r>
        <w:rPr>
          <w:rFonts w:hint="eastAsia" w:ascii="仿宋" w:hAnsi="仿宋" w:eastAsia="仿宋" w:cs="仿宋"/>
          <w:bCs/>
          <w:sz w:val="28"/>
          <w:szCs w:val="28"/>
          <w:u w:val="single"/>
        </w:rPr>
        <w:t>85,000.00元</w:t>
      </w:r>
      <w:r>
        <w:rPr>
          <w:rFonts w:hint="eastAsia" w:ascii="仿宋" w:hAnsi="仿宋" w:eastAsia="仿宋" w:cs="仿宋"/>
          <w:sz w:val="28"/>
          <w:szCs w:val="28"/>
          <w:u w:val="single"/>
        </w:rPr>
        <w:t>）</w:t>
      </w:r>
      <w:r>
        <w:rPr>
          <w:rFonts w:hint="eastAsia" w:ascii="仿宋" w:hAnsi="仿宋" w:eastAsia="仿宋" w:cs="仿宋"/>
          <w:sz w:val="28"/>
          <w:szCs w:val="28"/>
          <w:highlight w:val="yellow"/>
          <w:u w:val="single"/>
        </w:rPr>
        <w:t>（以乙方实际中标额为准）</w:t>
      </w:r>
      <w:r>
        <w:rPr>
          <w:rFonts w:hint="eastAsia" w:ascii="仿宋" w:hAnsi="仿宋" w:eastAsia="仿宋" w:cs="仿宋"/>
          <w:sz w:val="28"/>
          <w:szCs w:val="28"/>
        </w:rPr>
        <w:t>；</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第二期：待项目经甲方验收合格后，甲方再次凭收到乙方开具等额有效的发票之日起30个工作日内支付剩余项目费用给乙方，即</w:t>
      </w:r>
      <w:r>
        <w:rPr>
          <w:rFonts w:hint="eastAsia" w:ascii="仿宋" w:hAnsi="仿宋" w:eastAsia="仿宋" w:cs="仿宋"/>
          <w:sz w:val="28"/>
          <w:szCs w:val="28"/>
          <w:u w:val="single"/>
        </w:rPr>
        <w:t>人民币捌万伍仟整（</w:t>
      </w:r>
      <w:r>
        <w:rPr>
          <w:rFonts w:hint="eastAsia" w:ascii="仿宋" w:hAnsi="仿宋" w:eastAsia="仿宋" w:cs="仿宋"/>
          <w:sz w:val="28"/>
          <w:szCs w:val="28"/>
        </w:rPr>
        <w:t>￥</w:t>
      </w:r>
      <w:r>
        <w:rPr>
          <w:rFonts w:hint="eastAsia" w:ascii="仿宋" w:hAnsi="仿宋" w:eastAsia="仿宋" w:cs="仿宋"/>
          <w:bCs/>
          <w:sz w:val="28"/>
          <w:szCs w:val="28"/>
          <w:u w:val="single"/>
        </w:rPr>
        <w:t>85,000.00元</w:t>
      </w:r>
      <w:r>
        <w:rPr>
          <w:rFonts w:hint="eastAsia" w:ascii="仿宋" w:hAnsi="仿宋" w:eastAsia="仿宋" w:cs="仿宋"/>
          <w:sz w:val="28"/>
          <w:szCs w:val="28"/>
          <w:u w:val="single"/>
        </w:rPr>
        <w:t>）</w:t>
      </w:r>
      <w:r>
        <w:rPr>
          <w:rFonts w:hint="eastAsia" w:ascii="仿宋" w:hAnsi="仿宋" w:eastAsia="仿宋" w:cs="仿宋"/>
          <w:sz w:val="28"/>
          <w:szCs w:val="28"/>
          <w:highlight w:val="yellow"/>
          <w:u w:val="single"/>
        </w:rPr>
        <w:t>（以乙方实际中标额为准）</w:t>
      </w:r>
      <w:r>
        <w:rPr>
          <w:rFonts w:hint="eastAsia" w:ascii="仿宋" w:hAnsi="仿宋" w:eastAsia="仿宋" w:cs="仿宋"/>
          <w:sz w:val="28"/>
          <w:szCs w:val="28"/>
        </w:rPr>
        <w:t>。</w:t>
      </w:r>
    </w:p>
    <w:p>
      <w:pPr>
        <w:numPr>
          <w:ilvl w:val="0"/>
          <w:numId w:val="2"/>
        </w:numPr>
        <w:spacing w:line="480" w:lineRule="exact"/>
        <w:ind w:firstLine="560" w:firstLineChars="200"/>
        <w:rPr>
          <w:rFonts w:ascii="仿宋" w:hAnsi="仿宋" w:eastAsia="仿宋" w:cs="仿宋"/>
          <w:sz w:val="28"/>
          <w:szCs w:val="28"/>
        </w:rPr>
      </w:pPr>
      <w:r>
        <w:rPr>
          <w:rFonts w:hint="eastAsia" w:ascii="仿宋_GB2312" w:hAnsi="仿宋_GB2312" w:cs="仿宋_GB2312"/>
          <w:sz w:val="28"/>
          <w:szCs w:val="28"/>
        </w:rPr>
        <w:t>乙方确认：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如因财政资金的下达、拨付问题导致付款延迟的，不视为甲方违约，乙方不能据此追究甲方逾期付款的违约责任。</w:t>
      </w:r>
    </w:p>
    <w:p>
      <w:pPr>
        <w:numPr>
          <w:ilvl w:val="0"/>
          <w:numId w:val="1"/>
        </w:numPr>
        <w:spacing w:line="480" w:lineRule="exact"/>
        <w:rPr>
          <w:rFonts w:ascii="仿宋" w:hAnsi="仿宋" w:eastAsia="仿宋" w:cs="仿宋"/>
          <w:sz w:val="28"/>
          <w:szCs w:val="28"/>
        </w:rPr>
      </w:pPr>
      <w:r>
        <w:rPr>
          <w:rFonts w:hint="eastAsia" w:ascii="仿宋" w:hAnsi="仿宋" w:eastAsia="仿宋" w:cs="仿宋"/>
          <w:sz w:val="28"/>
          <w:szCs w:val="28"/>
        </w:rPr>
        <w:t>乙方账户信息如下：</w:t>
      </w:r>
    </w:p>
    <w:p>
      <w:pPr>
        <w:spacing w:line="480" w:lineRule="exact"/>
        <w:ind w:firstLine="560" w:firstLineChars="200"/>
        <w:rPr>
          <w:rFonts w:ascii="仿宋" w:hAnsi="仿宋" w:eastAsia="仿宋" w:cs="仿宋"/>
          <w:sz w:val="28"/>
          <w:szCs w:val="28"/>
          <w:highlight w:val="yellow"/>
        </w:rPr>
      </w:pPr>
      <w:r>
        <w:rPr>
          <w:rFonts w:hint="eastAsia" w:ascii="仿宋" w:hAnsi="仿宋" w:eastAsia="仿宋" w:cs="仿宋"/>
          <w:sz w:val="28"/>
          <w:szCs w:val="28"/>
          <w:highlight w:val="yellow"/>
        </w:rPr>
        <w:t>开户名：</w:t>
      </w:r>
      <w:r>
        <w:rPr>
          <w:rFonts w:ascii="仿宋" w:hAnsi="仿宋" w:eastAsia="仿宋" w:cs="仿宋"/>
          <w:sz w:val="28"/>
          <w:szCs w:val="28"/>
          <w:highlight w:val="yellow"/>
          <w:u w:val="single"/>
        </w:rPr>
        <w:t xml:space="preserve">                        </w:t>
      </w:r>
    </w:p>
    <w:p>
      <w:pPr>
        <w:spacing w:line="480" w:lineRule="exact"/>
        <w:ind w:firstLine="560" w:firstLineChars="200"/>
        <w:rPr>
          <w:rFonts w:ascii="仿宋" w:hAnsi="仿宋" w:eastAsia="仿宋" w:cs="仿宋"/>
          <w:sz w:val="28"/>
          <w:szCs w:val="28"/>
          <w:highlight w:val="yellow"/>
          <w:u w:val="single"/>
        </w:rPr>
      </w:pPr>
      <w:r>
        <w:rPr>
          <w:rFonts w:hint="eastAsia" w:ascii="仿宋" w:hAnsi="仿宋" w:eastAsia="仿宋" w:cs="仿宋"/>
          <w:sz w:val="28"/>
          <w:szCs w:val="28"/>
          <w:highlight w:val="yellow"/>
        </w:rPr>
        <w:t>开户行：</w:t>
      </w:r>
      <w:r>
        <w:rPr>
          <w:rFonts w:ascii="仿宋" w:hAnsi="仿宋" w:eastAsia="仿宋" w:cs="仿宋"/>
          <w:sz w:val="28"/>
          <w:szCs w:val="28"/>
          <w:highlight w:val="yellow"/>
          <w:u w:val="single"/>
        </w:rPr>
        <w:t xml:space="preserve">                        </w:t>
      </w:r>
    </w:p>
    <w:p>
      <w:pPr>
        <w:spacing w:line="480" w:lineRule="exact"/>
        <w:ind w:firstLine="560" w:firstLineChars="200"/>
        <w:rPr>
          <w:rFonts w:ascii="仿宋" w:hAnsi="仿宋" w:eastAsia="仿宋" w:cs="仿宋"/>
          <w:sz w:val="28"/>
          <w:szCs w:val="28"/>
          <w:highlight w:val="yellow"/>
          <w:u w:val="single"/>
        </w:rPr>
      </w:pPr>
      <w:r>
        <w:rPr>
          <w:rFonts w:hint="eastAsia" w:ascii="仿宋" w:hAnsi="仿宋" w:eastAsia="仿宋" w:cs="仿宋"/>
          <w:sz w:val="28"/>
          <w:szCs w:val="28"/>
          <w:highlight w:val="yellow"/>
        </w:rPr>
        <w:t>账  号：</w:t>
      </w:r>
      <w:r>
        <w:rPr>
          <w:rFonts w:ascii="仿宋" w:hAnsi="仿宋" w:eastAsia="仿宋" w:cs="仿宋"/>
          <w:sz w:val="28"/>
          <w:szCs w:val="28"/>
          <w:highlight w:val="yellow"/>
          <w:u w:val="single"/>
        </w:rPr>
        <w:t xml:space="preserve">                        </w:t>
      </w:r>
    </w:p>
    <w:p>
      <w:pPr>
        <w:pStyle w:val="10"/>
        <w:numPr>
          <w:ilvl w:val="0"/>
          <w:numId w:val="1"/>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甲方开票信息如下：</w:t>
      </w:r>
    </w:p>
    <w:p>
      <w:pPr>
        <w:pStyle w:val="1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单位名称：江门市市场监督管理局</w:t>
      </w:r>
    </w:p>
    <w:p>
      <w:pPr>
        <w:pStyle w:val="10"/>
        <w:spacing w:line="48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统一</w:t>
      </w:r>
      <w:r>
        <w:rPr>
          <w:rFonts w:hint="eastAsia" w:ascii="仿宋" w:hAnsi="仿宋" w:eastAsia="仿宋" w:cs="仿宋"/>
          <w:sz w:val="28"/>
          <w:szCs w:val="28"/>
          <w:lang w:val="en-US" w:eastAsia="zh-CN" w:bidi="ar"/>
        </w:rPr>
        <w:t>社会</w:t>
      </w:r>
      <w:r>
        <w:rPr>
          <w:rFonts w:hint="eastAsia" w:ascii="仿宋" w:hAnsi="仿宋" w:eastAsia="仿宋" w:cs="仿宋"/>
          <w:sz w:val="28"/>
          <w:szCs w:val="28"/>
          <w:lang w:bidi="ar"/>
        </w:rPr>
        <w:t>信用代码：11440700MB2C90725T</w:t>
      </w:r>
    </w:p>
    <w:p>
      <w:pPr>
        <w:spacing w:line="480" w:lineRule="exact"/>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  验收方式</w:t>
      </w:r>
      <w:r>
        <w:rPr>
          <w:rFonts w:hint="eastAsia" w:ascii="仿宋" w:hAnsi="仿宋" w:eastAsia="仿宋" w:cs="仿宋"/>
          <w:color w:val="666666"/>
          <w:sz w:val="28"/>
          <w:szCs w:val="28"/>
          <w:shd w:val="clear" w:color="auto" w:fill="FFFFFF"/>
        </w:rPr>
        <w:t xml:space="preserve"> </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验收时间：本项目结束之日起10个工作日内，乙方应按采购公告、甲方要求提交项目相关的文件、资料等成果性资料给甲方进行验收，甲方在收到乙方提交的上述成果性资料之日起20个工作日内完成验收工作；但因乙方自身原因导致甲方无法在上述期限内完成验收的，由此产生的费用、损失由乙方自行承担；若损失难以计算的，则以本合同项下的费用作为损失计算依据。</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行业规范或标准以及招标公告、本合同约定的技术、服务标准进行验收。</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bCs/>
          <w:sz w:val="28"/>
          <w:szCs w:val="28"/>
        </w:rPr>
        <w:t>经甲方验收不</w:t>
      </w:r>
      <w:r>
        <w:rPr>
          <w:rFonts w:hint="eastAsia" w:ascii="仿宋" w:hAnsi="仿宋" w:eastAsia="仿宋" w:cs="仿宋"/>
          <w:sz w:val="28"/>
          <w:szCs w:val="28"/>
        </w:rPr>
        <w:t>合格</w:t>
      </w:r>
      <w:r>
        <w:rPr>
          <w:rFonts w:hint="eastAsia" w:ascii="仿宋" w:hAnsi="仿宋" w:eastAsia="仿宋" w:cs="仿宋"/>
          <w:bCs/>
          <w:sz w:val="28"/>
          <w:szCs w:val="28"/>
        </w:rPr>
        <w:t>的，乙方应在甲方指定期限内采取弥补措施并再次提交给甲方验收；验收合格后由甲方和乙方共同签字确认并作为结算及甲方支付第二期款项的依据。</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若经甲方再次验收未通过的，且甲方已经支付项目费用的，甲方有权单方决定解除合同，并有权在乙方已收取款项中扣除与未通过验收部分相对应的项目费用以及甲方因此遭受的其他损失后， 要求乙方在收到甲方书面通知之日起10个工作日内将剩余款项退回给甲方，若乙方逾期退还，每逾期一日，应按应退还款项总额的日千分之一向甲方支付违约金。甲方亦有权依据本合同第九条第2款追究乙方的违约责任。（乙方已经开具发票所产生的税费损失由乙方自行承担，也即不能要求甲方予以承担）。</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第四条  甲方的权利和义务</w:t>
      </w:r>
    </w:p>
    <w:p>
      <w:pPr>
        <w:numPr>
          <w:ilvl w:val="0"/>
          <w:numId w:val="4"/>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甲方为乙方提供项目实施中所需的相关协助；</w:t>
      </w:r>
    </w:p>
    <w:p>
      <w:pPr>
        <w:numPr>
          <w:ilvl w:val="0"/>
          <w:numId w:val="4"/>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项目实施期间，甲方有权向乙方提出建议或具体要求；</w:t>
      </w:r>
    </w:p>
    <w:p>
      <w:pPr>
        <w:numPr>
          <w:ilvl w:val="0"/>
          <w:numId w:val="4"/>
        </w:numPr>
        <w:spacing w:line="480" w:lineRule="exact"/>
        <w:ind w:firstLine="560" w:firstLineChars="200"/>
        <w:rPr>
          <w:rFonts w:ascii="仿宋" w:hAnsi="仿宋" w:eastAsia="仿宋" w:cs="仿宋"/>
          <w:color w:val="000000"/>
          <w:sz w:val="28"/>
          <w:szCs w:val="28"/>
        </w:rPr>
      </w:pPr>
      <w:r>
        <w:rPr>
          <w:rFonts w:hint="eastAsia" w:ascii="仿宋" w:hAnsi="仿宋" w:eastAsia="仿宋" w:cs="仿宋"/>
          <w:sz w:val="28"/>
          <w:szCs w:val="28"/>
        </w:rPr>
        <w:t>根据甲、乙双方确定的项目计划，甲方有权督促乙方的实施情况，了解</w:t>
      </w:r>
      <w:r>
        <w:rPr>
          <w:rFonts w:hint="eastAsia" w:ascii="仿宋" w:hAnsi="仿宋" w:eastAsia="仿宋" w:cs="仿宋"/>
          <w:color w:val="000000"/>
          <w:sz w:val="28"/>
          <w:szCs w:val="28"/>
        </w:rPr>
        <w:t>工作进度及开展情况。</w:t>
      </w:r>
    </w:p>
    <w:p>
      <w:pPr>
        <w:numPr>
          <w:ilvl w:val="0"/>
          <w:numId w:val="4"/>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若甲方发现有问题，乙方应当在接到甲方的质疑之日2日内提供相关说明；若甲方</w:t>
      </w:r>
      <w:r>
        <w:rPr>
          <w:rFonts w:ascii="仿宋" w:hAnsi="仿宋" w:eastAsia="仿宋" w:cs="仿宋"/>
          <w:sz w:val="28"/>
          <w:szCs w:val="28"/>
        </w:rPr>
        <w:t>认为</w:t>
      </w:r>
      <w:r>
        <w:rPr>
          <w:rFonts w:hint="eastAsia" w:ascii="仿宋" w:hAnsi="仿宋" w:eastAsia="仿宋" w:cs="仿宋"/>
          <w:sz w:val="28"/>
          <w:szCs w:val="28"/>
        </w:rPr>
        <w:t>需要</w:t>
      </w:r>
      <w:r>
        <w:rPr>
          <w:rFonts w:ascii="仿宋" w:hAnsi="仿宋" w:eastAsia="仿宋" w:cs="仿宋"/>
          <w:sz w:val="28"/>
          <w:szCs w:val="28"/>
        </w:rPr>
        <w:t>整改的</w:t>
      </w:r>
      <w:r>
        <w:rPr>
          <w:rFonts w:hint="eastAsia" w:ascii="仿宋" w:hAnsi="仿宋" w:eastAsia="仿宋" w:cs="仿宋"/>
          <w:sz w:val="28"/>
          <w:szCs w:val="28"/>
        </w:rPr>
        <w:t>，乙方应当</w:t>
      </w:r>
      <w:r>
        <w:rPr>
          <w:rFonts w:ascii="仿宋" w:hAnsi="仿宋" w:eastAsia="仿宋" w:cs="仿宋"/>
          <w:sz w:val="28"/>
          <w:szCs w:val="28"/>
        </w:rPr>
        <w:t>根据</w:t>
      </w:r>
      <w:r>
        <w:rPr>
          <w:rFonts w:hint="eastAsia" w:ascii="仿宋" w:hAnsi="仿宋" w:eastAsia="仿宋" w:cs="仿宋"/>
          <w:sz w:val="28"/>
          <w:szCs w:val="28"/>
        </w:rPr>
        <w:t>甲方</w:t>
      </w:r>
      <w:r>
        <w:rPr>
          <w:rFonts w:ascii="仿宋" w:hAnsi="仿宋" w:eastAsia="仿宋" w:cs="仿宋"/>
          <w:sz w:val="28"/>
          <w:szCs w:val="28"/>
        </w:rPr>
        <w:t>要求整改至甲方认为合格为止；若乙方拒绝整改，则视为乙方违约</w:t>
      </w:r>
      <w:r>
        <w:rPr>
          <w:rFonts w:hint="eastAsia" w:ascii="仿宋" w:hAnsi="仿宋" w:eastAsia="仿宋" w:cs="仿宋"/>
          <w:sz w:val="28"/>
          <w:szCs w:val="28"/>
        </w:rPr>
        <w:t>。</w:t>
      </w:r>
    </w:p>
    <w:p>
      <w:pPr>
        <w:numPr>
          <w:ilvl w:val="0"/>
          <w:numId w:val="4"/>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numPr>
          <w:ilvl w:val="0"/>
          <w:numId w:val="4"/>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甲方应及时进行验收。</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第五条  乙方的权利和义务</w:t>
      </w:r>
    </w:p>
    <w:p>
      <w:pPr>
        <w:numPr>
          <w:ilvl w:val="0"/>
          <w:numId w:val="5"/>
        </w:numPr>
        <w:adjustRightInd w:val="0"/>
        <w:snapToGrid w:val="0"/>
        <w:spacing w:line="480" w:lineRule="exact"/>
        <w:ind w:firstLine="560" w:firstLineChars="200"/>
        <w:rPr>
          <w:rFonts w:hint="eastAsia" w:ascii="仿宋" w:hAnsi="仿宋" w:eastAsia="仿宋" w:cs="仿宋"/>
          <w:sz w:val="28"/>
          <w:szCs w:val="28"/>
          <w:lang w:bidi="ar"/>
        </w:rPr>
      </w:pPr>
      <w:r>
        <w:rPr>
          <w:rFonts w:hint="eastAsia" w:ascii="仿宋" w:hAnsi="仿宋" w:eastAsia="仿宋" w:cs="仿宋"/>
          <w:sz w:val="28"/>
          <w:szCs w:val="28"/>
          <w:lang w:bidi="ar"/>
        </w:rPr>
        <w:t>乙方需按照甲方要求按时按质完成项目。</w:t>
      </w:r>
    </w:p>
    <w:p>
      <w:pPr>
        <w:numPr>
          <w:ilvl w:val="0"/>
          <w:numId w:val="5"/>
        </w:numPr>
        <w:adjustRightInd w:val="0"/>
        <w:snapToGrid w:val="0"/>
        <w:spacing w:line="480" w:lineRule="exact"/>
        <w:ind w:firstLine="560" w:firstLineChars="200"/>
        <w:rPr>
          <w:rFonts w:hint="eastAsia" w:ascii="仿宋" w:hAnsi="仿宋" w:eastAsia="仿宋" w:cs="仿宋"/>
          <w:sz w:val="28"/>
          <w:szCs w:val="28"/>
          <w:lang w:bidi="ar"/>
        </w:rPr>
      </w:pPr>
      <w:r>
        <w:rPr>
          <w:rFonts w:hint="eastAsia" w:ascii="仿宋" w:hAnsi="仿宋" w:eastAsia="仿宋" w:cs="仿宋"/>
          <w:sz w:val="28"/>
          <w:szCs w:val="28"/>
          <w:lang w:bidi="ar"/>
        </w:rPr>
        <w:t>乙方需保证甲方所提供的所有资料仅用于该项目，且未经甲方书面同意不得向甲方指定运营平台外的第三方泄露。</w:t>
      </w:r>
    </w:p>
    <w:p>
      <w:pPr>
        <w:numPr>
          <w:ilvl w:val="0"/>
          <w:numId w:val="5"/>
        </w:numPr>
        <w:adjustRightInd w:val="0"/>
        <w:snapToGrid w:val="0"/>
        <w:spacing w:line="480" w:lineRule="exact"/>
        <w:ind w:firstLine="560" w:firstLineChars="200"/>
        <w:rPr>
          <w:rFonts w:hint="eastAsia" w:ascii="仿宋" w:hAnsi="仿宋" w:eastAsia="仿宋" w:cs="仿宋"/>
          <w:sz w:val="28"/>
          <w:szCs w:val="28"/>
          <w:lang w:bidi="ar"/>
        </w:rPr>
      </w:pPr>
      <w:r>
        <w:rPr>
          <w:rFonts w:hint="eastAsia" w:ascii="仿宋" w:hAnsi="仿宋" w:eastAsia="仿宋" w:cs="仿宋"/>
          <w:sz w:val="28"/>
          <w:szCs w:val="28"/>
          <w:lang w:bidi="ar"/>
        </w:rPr>
        <w:t>根据甲方要求做出工作实施方案，并完成项目内容以及确保完成任务期间的人身安全、公私财产安全、交通安全等各项安全事宜及承担责任，若因乙方原因导致出现安全事故、安全责任等情况发生的，由乙方承担全部的赔偿责任。</w:t>
      </w:r>
    </w:p>
    <w:p>
      <w:pPr>
        <w:numPr>
          <w:ilvl w:val="0"/>
          <w:numId w:val="5"/>
        </w:numPr>
        <w:adjustRightInd w:val="0"/>
        <w:snapToGrid w:val="0"/>
        <w:spacing w:line="480" w:lineRule="exact"/>
        <w:ind w:firstLine="560" w:firstLineChars="200"/>
        <w:rPr>
          <w:rFonts w:hint="eastAsia" w:ascii="仿宋" w:hAnsi="仿宋" w:eastAsia="仿宋" w:cs="仿宋"/>
          <w:sz w:val="28"/>
          <w:szCs w:val="28"/>
          <w:lang w:bidi="ar"/>
        </w:rPr>
      </w:pPr>
      <w:r>
        <w:rPr>
          <w:rFonts w:hint="eastAsia" w:ascii="仿宋" w:hAnsi="仿宋" w:eastAsia="仿宋" w:cs="仿宋"/>
          <w:sz w:val="28"/>
          <w:szCs w:val="28"/>
          <w:lang w:bidi="ar"/>
        </w:rPr>
        <w:t>项目在本合同履行过程中，非因乙方原因有可能致使合同履行失败或者部分失败的，乙方应在知晓该等事项之日起1个工作日内通知甲方，同时采取措施减少损失。</w:t>
      </w:r>
    </w:p>
    <w:p>
      <w:pPr>
        <w:numPr>
          <w:ilvl w:val="0"/>
          <w:numId w:val="5"/>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因乙方原因，致使合同全部或者部分不能履行的，乙方承担合同不能履行的全部风险及责任，甲方不予支付未履行部分的合同价款给乙方。</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第六条  保密条款</w:t>
      </w:r>
    </w:p>
    <w:p>
      <w:pPr>
        <w:spacing w:line="480" w:lineRule="exact"/>
        <w:ind w:firstLine="560" w:firstLineChars="200"/>
        <w:outlineLvl w:val="0"/>
        <w:rPr>
          <w:rFonts w:hint="eastAsia" w:ascii="仿宋_GB2312" w:hAnsi="仿宋_GB2312" w:cs="仿宋_GB2312"/>
          <w:color w:val="000000"/>
          <w:sz w:val="28"/>
          <w:szCs w:val="28"/>
        </w:rPr>
      </w:pPr>
      <w:r>
        <w:rPr>
          <w:rFonts w:hint="eastAsia" w:ascii="仿宋_GB2312" w:hAnsi="仿宋_GB2312" w:cs="仿宋_GB2312"/>
          <w:color w:val="000000"/>
          <w:sz w:val="28"/>
          <w:szCs w:val="28"/>
        </w:rPr>
        <w:t>（一）乙方必须对本项目实施过程中接触的甲方信息及资料（包括但不限于文件、图片、数据（含电子数据）、影音影像等）积极采取全面保密措施。乙方不得将上述保密内容提供给与任何第三方，不得将其用于履行本合同之外的其它用途，即使向与履行本合同有关的人员提供，乙方也应注意保密并限于履行合同所必需的范围。否则，乙方应独自承担一切责任。前述信息资料均属于永久保密期限范围，均对乙方有约束力，不因合同的变更、解除、终止而终止；</w:t>
      </w:r>
    </w:p>
    <w:p>
      <w:pPr>
        <w:spacing w:line="480" w:lineRule="exact"/>
        <w:ind w:firstLine="560" w:firstLineChars="200"/>
        <w:outlineLvl w:val="0"/>
        <w:rPr>
          <w:rFonts w:ascii="仿宋" w:hAnsi="仿宋" w:eastAsia="仿宋" w:cs="仿宋"/>
          <w:sz w:val="28"/>
          <w:szCs w:val="28"/>
        </w:rPr>
      </w:pPr>
      <w:r>
        <w:rPr>
          <w:rFonts w:hint="eastAsia" w:ascii="仿宋_GB2312" w:hAnsi="仿宋_GB2312" w:cs="仿宋_GB2312"/>
          <w:color w:val="000000"/>
          <w:sz w:val="28"/>
          <w:szCs w:val="28"/>
        </w:rPr>
        <w:t>（二）乙方违反上述保密约定应向甲方按本合同价款总额的20%支付违约金并赔偿甲方因此造成的全部经济损失（包括但不限于甲方因此产生的律师费、诉讼费、调查费、差旅费、赔偿款等）。</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第七条  不可抗力</w:t>
      </w:r>
    </w:p>
    <w:p>
      <w:pPr>
        <w:numPr>
          <w:ilvl w:val="0"/>
          <w:numId w:val="6"/>
        </w:numPr>
        <w:spacing w:line="480" w:lineRule="exact"/>
        <w:rPr>
          <w:rFonts w:hint="eastAsia"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pPr>
        <w:numPr>
          <w:ilvl w:val="0"/>
          <w:numId w:val="6"/>
        </w:numPr>
        <w:spacing w:line="480" w:lineRule="exact"/>
        <w:rPr>
          <w:rFonts w:hint="eastAsia"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numPr>
          <w:ilvl w:val="0"/>
          <w:numId w:val="7"/>
        </w:numPr>
        <w:spacing w:line="480" w:lineRule="exact"/>
        <w:rPr>
          <w:rFonts w:hint="eastAsia" w:ascii="仿宋" w:hAnsi="仿宋" w:eastAsia="仿宋" w:cs="仿宋"/>
          <w:b/>
          <w:bCs/>
          <w:sz w:val="28"/>
          <w:szCs w:val="28"/>
        </w:rPr>
      </w:pPr>
      <w:r>
        <w:rPr>
          <w:rFonts w:hint="eastAsia" w:ascii="仿宋" w:hAnsi="仿宋" w:eastAsia="仿宋" w:cs="仿宋"/>
          <w:b/>
          <w:bCs/>
          <w:sz w:val="28"/>
          <w:szCs w:val="28"/>
        </w:rPr>
        <w:t xml:space="preserve">知识产权 </w:t>
      </w:r>
    </w:p>
    <w:p>
      <w:pPr>
        <w:numPr>
          <w:ilvl w:val="-1"/>
          <w:numId w:val="0"/>
        </w:numPr>
        <w:spacing w:line="480" w:lineRule="exact"/>
        <w:ind w:left="0" w:firstLine="560" w:firstLineChars="200"/>
        <w:rPr>
          <w:rFonts w:hint="eastAsia" w:ascii="仿宋" w:hAnsi="仿宋" w:eastAsia="仿宋" w:cs="仿宋"/>
          <w:sz w:val="28"/>
          <w:szCs w:val="28"/>
        </w:rPr>
      </w:pPr>
      <w:r>
        <w:rPr>
          <w:rFonts w:hint="eastAsia" w:ascii="仿宋" w:hAnsi="仿宋" w:eastAsia="仿宋" w:cs="仿宋"/>
          <w:sz w:val="28"/>
          <w:szCs w:val="28"/>
        </w:rPr>
        <w:t>（一）乙方在项目实施过程中不得侵犯第三人知识产权以及其他权益。需要使用第三人知识产权的，乙方应取得权利人许可或者授权并由乙方承担费用。如因第三方提出其专利权、商标权或其他知识产权的侵权之诉，则一切法律责任由乙方承担（包括但不限于律师费、诉讼费、赔偿款、调查费、差旅费等）。</w:t>
      </w:r>
    </w:p>
    <w:p>
      <w:pPr>
        <w:numPr>
          <w:ilvl w:val="-1"/>
          <w:numId w:val="0"/>
        </w:numPr>
        <w:spacing w:line="480" w:lineRule="exact"/>
        <w:ind w:left="0" w:firstLine="560" w:firstLineChars="200"/>
        <w:rPr>
          <w:rFonts w:hint="eastAsia" w:ascii="仿宋" w:hAnsi="仿宋" w:eastAsia="仿宋" w:cs="仿宋"/>
          <w:b w:val="0"/>
          <w:bCs w:val="0"/>
          <w:sz w:val="28"/>
          <w:szCs w:val="28"/>
        </w:rPr>
      </w:pPr>
      <w:r>
        <w:rPr>
          <w:rFonts w:hint="eastAsia" w:ascii="仿宋" w:hAnsi="仿宋" w:eastAsia="仿宋" w:cs="仿宋"/>
          <w:sz w:val="28"/>
          <w:szCs w:val="28"/>
        </w:rPr>
        <w:t>（二）乙方根据本合同向甲方提供的资料及其所包含的图形、图片、文字等素材以及因本合同产生的作品（包括但不限于任何图案、图像、文字等），其知识产权和其他权益均归甲方所有，未经甲方事先书面许可乙方不得为本合同之外的任何目的、以任何形式自行使用或擅自许可任何第三方使用。</w:t>
      </w:r>
    </w:p>
    <w:p>
      <w:pPr>
        <w:numPr>
          <w:ilvl w:val="0"/>
          <w:numId w:val="7"/>
        </w:numPr>
        <w:spacing w:line="480" w:lineRule="exact"/>
        <w:rPr>
          <w:rFonts w:ascii="仿宋" w:hAnsi="仿宋" w:eastAsia="仿宋" w:cs="仿宋"/>
          <w:b/>
          <w:bCs/>
          <w:sz w:val="28"/>
          <w:szCs w:val="28"/>
        </w:rPr>
      </w:pPr>
      <w:r>
        <w:rPr>
          <w:rFonts w:hint="eastAsia" w:ascii="仿宋" w:hAnsi="仿宋" w:eastAsia="仿宋" w:cs="仿宋"/>
          <w:b/>
          <w:bCs/>
          <w:sz w:val="28"/>
          <w:szCs w:val="28"/>
        </w:rPr>
        <w:t>违约责任</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rPr>
        <w:t>甲方的违约责任：</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rPr>
        <w:t>乙方的违约责任：</w:t>
      </w:r>
    </w:p>
    <w:p>
      <w:pPr>
        <w:numPr>
          <w:ilvl w:val="-1"/>
          <w:numId w:val="0"/>
        </w:numPr>
        <w:spacing w:line="480" w:lineRule="exact"/>
        <w:ind w:leftChars="0" w:firstLine="560" w:firstLineChars="200"/>
        <w:rPr>
          <w:rFonts w:hint="eastAsia" w:ascii="仿宋" w:hAnsi="仿宋" w:eastAsia="仿宋" w:cs="仿宋"/>
          <w:sz w:val="28"/>
          <w:szCs w:val="28"/>
        </w:rPr>
      </w:pPr>
      <w:r>
        <w:rPr>
          <w:rFonts w:hint="eastAsia" w:ascii="仿宋" w:hAnsi="仿宋" w:eastAsia="仿宋" w:cs="仿宋"/>
          <w:sz w:val="28"/>
          <w:szCs w:val="28"/>
        </w:rPr>
        <w:t>1.乙方未按照合同约定及时提交项目成果性文件或逾期完成项目工作的，从逾期之日起，甲方有权要求乙方按本合同项目总费用的日千分之一向甲方支付违约金直到乙方提交或者完成之日止。</w:t>
      </w:r>
    </w:p>
    <w:p>
      <w:pPr>
        <w:numPr>
          <w:ilvl w:val="-1"/>
          <w:numId w:val="0"/>
        </w:numPr>
        <w:spacing w:line="480" w:lineRule="exact"/>
        <w:ind w:leftChars="0" w:firstLine="560" w:firstLineChars="200"/>
        <w:rPr>
          <w:rFonts w:hint="eastAsia" w:ascii="仿宋" w:hAnsi="仿宋" w:eastAsia="仿宋" w:cs="仿宋"/>
          <w:sz w:val="28"/>
          <w:szCs w:val="28"/>
        </w:rPr>
      </w:pPr>
      <w:r>
        <w:rPr>
          <w:rFonts w:hint="eastAsia" w:ascii="仿宋" w:hAnsi="仿宋" w:eastAsia="仿宋" w:cs="仿宋"/>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合同项目总费用20％的违约金给甲方：</w:t>
      </w:r>
    </w:p>
    <w:p>
      <w:pPr>
        <w:numPr>
          <w:ilvl w:val="-1"/>
          <w:numId w:val="0"/>
        </w:numPr>
        <w:spacing w:line="480" w:lineRule="exact"/>
        <w:ind w:leftChars="0" w:firstLine="560" w:firstLineChars="200"/>
        <w:rPr>
          <w:rFonts w:hint="eastAsia" w:ascii="仿宋" w:hAnsi="仿宋" w:eastAsia="仿宋" w:cs="仿宋"/>
          <w:sz w:val="28"/>
          <w:szCs w:val="28"/>
        </w:rPr>
      </w:pPr>
      <w:r>
        <w:rPr>
          <w:rFonts w:hint="eastAsia" w:ascii="仿宋" w:hAnsi="仿宋" w:eastAsia="仿宋" w:cs="仿宋"/>
          <w:sz w:val="28"/>
          <w:szCs w:val="28"/>
        </w:rPr>
        <w:t>（1）乙方逾期提交项目成果性文件或者逾期完成项目工作超过15日以上的；</w:t>
      </w:r>
    </w:p>
    <w:p>
      <w:pPr>
        <w:numPr>
          <w:ilvl w:val="-1"/>
          <w:numId w:val="0"/>
        </w:numPr>
        <w:spacing w:line="480" w:lineRule="exact"/>
        <w:ind w:leftChars="0" w:firstLine="560" w:firstLineChars="200"/>
        <w:rPr>
          <w:rFonts w:hint="eastAsia" w:ascii="仿宋" w:hAnsi="仿宋" w:eastAsia="仿宋" w:cs="仿宋"/>
          <w:sz w:val="28"/>
          <w:szCs w:val="28"/>
        </w:rPr>
      </w:pPr>
      <w:r>
        <w:rPr>
          <w:rFonts w:hint="eastAsia" w:ascii="仿宋" w:hAnsi="仿宋" w:eastAsia="仿宋" w:cs="仿宋"/>
          <w:sz w:val="28"/>
          <w:szCs w:val="28"/>
        </w:rPr>
        <w:t>（2）乙方因自身原因不能提供服务（不包括本条第1点的情形）或提供的服务质量不符合本合同约定以及相关法律法规规定的；</w:t>
      </w:r>
    </w:p>
    <w:p>
      <w:pPr>
        <w:numPr>
          <w:ilvl w:val="-1"/>
          <w:numId w:val="0"/>
        </w:numPr>
        <w:spacing w:line="480" w:lineRule="exact"/>
        <w:ind w:leftChars="0" w:firstLine="420" w:firstLineChars="0"/>
        <w:rPr>
          <w:rFonts w:hint="eastAsia" w:ascii="仿宋" w:hAnsi="仿宋" w:eastAsia="仿宋" w:cs="仿宋"/>
          <w:sz w:val="28"/>
          <w:szCs w:val="28"/>
        </w:rPr>
      </w:pPr>
      <w:r>
        <w:rPr>
          <w:rFonts w:hint="eastAsia" w:ascii="仿宋" w:hAnsi="仿宋" w:eastAsia="仿宋" w:cs="仿宋"/>
          <w:sz w:val="28"/>
          <w:szCs w:val="28"/>
        </w:rPr>
        <w:t>（3）未经甲方同意，乙方将本合同项目部分或全部技术服务工作转让第三人负责的。</w:t>
      </w:r>
    </w:p>
    <w:p>
      <w:pPr>
        <w:keepNext w:val="0"/>
        <w:keepLines w:val="0"/>
        <w:widowControl/>
        <w:suppressLineNumbers w:val="0"/>
        <w:ind w:firstLine="420"/>
        <w:jc w:val="left"/>
        <w:rPr>
          <w:rFonts w:hint="eastAsia" w:ascii="仿宋" w:hAnsi="仿宋" w:eastAsia="仿宋" w:cs="仿宋"/>
          <w:sz w:val="28"/>
          <w:szCs w:val="28"/>
        </w:rPr>
      </w:pPr>
      <w:r>
        <w:rPr>
          <w:rFonts w:hint="eastAsia" w:ascii="仿宋" w:hAnsi="仿宋" w:eastAsia="仿宋" w:cs="仿宋"/>
          <w:i w:val="0"/>
          <w:iCs w:val="0"/>
          <w:caps w:val="0"/>
          <w:color w:val="0F1115"/>
          <w:spacing w:val="0"/>
          <w:kern w:val="0"/>
          <w:sz w:val="28"/>
          <w:szCs w:val="28"/>
          <w:shd w:val="clear" w:fill="FFFFFF"/>
          <w:lang w:val="en-US" w:eastAsia="zh-CN" w:bidi="ar"/>
        </w:rPr>
        <w:t>（4）乙方提供的服务质量不符合本合同约定或甲方验收标准的，甲方有权要求乙方在【10】日内无偿采取补救措施进行整改。乙方逾期整改或整改后仍不符合约定的，每逾期一日，应按本合同总费用的</w:t>
      </w:r>
      <w:r>
        <w:rPr>
          <w:rStyle w:val="14"/>
          <w:rFonts w:hint="eastAsia" w:ascii="仿宋" w:hAnsi="仿宋" w:eastAsia="仿宋" w:cs="仿宋"/>
          <w:b/>
          <w:bCs/>
          <w:i w:val="0"/>
          <w:iCs w:val="0"/>
          <w:caps w:val="0"/>
          <w:color w:val="0F1115"/>
          <w:spacing w:val="0"/>
          <w:kern w:val="0"/>
          <w:sz w:val="28"/>
          <w:szCs w:val="28"/>
          <w:shd w:val="clear" w:fill="FFFFFF"/>
          <w:lang w:val="en-US" w:eastAsia="zh-CN" w:bidi="ar"/>
        </w:rPr>
        <w:t>千分之一</w:t>
      </w:r>
      <w:r>
        <w:rPr>
          <w:rFonts w:hint="eastAsia" w:ascii="仿宋" w:hAnsi="仿宋" w:eastAsia="仿宋" w:cs="仿宋"/>
          <w:i w:val="0"/>
          <w:iCs w:val="0"/>
          <w:caps w:val="0"/>
          <w:color w:val="0F1115"/>
          <w:spacing w:val="0"/>
          <w:kern w:val="0"/>
          <w:sz w:val="28"/>
          <w:szCs w:val="28"/>
          <w:shd w:val="clear" w:fill="FFFFFF"/>
          <w:lang w:val="en-US" w:eastAsia="zh-CN" w:bidi="ar"/>
        </w:rPr>
        <w:t>向甲方支付违约金。甲方有权根据违约情况扣减相应服务费用，直至单方解除合同。</w:t>
      </w:r>
    </w:p>
    <w:p>
      <w:pPr>
        <w:spacing w:line="480" w:lineRule="exact"/>
        <w:ind w:firstLine="281" w:firstLineChars="100"/>
        <w:rPr>
          <w:rFonts w:ascii="仿宋" w:hAnsi="仿宋" w:eastAsia="仿宋" w:cs="仿宋"/>
          <w:sz w:val="28"/>
          <w:szCs w:val="28"/>
        </w:rPr>
      </w:pPr>
      <w:r>
        <w:rPr>
          <w:rFonts w:hint="eastAsia" w:ascii="仿宋" w:hAnsi="仿宋" w:eastAsia="仿宋" w:cs="仿宋"/>
          <w:b/>
          <w:bCs/>
          <w:sz w:val="28"/>
          <w:szCs w:val="28"/>
        </w:rPr>
        <w:t>第</w:t>
      </w:r>
      <w:r>
        <w:rPr>
          <w:rFonts w:hint="eastAsia" w:ascii="仿宋" w:hAnsi="仿宋" w:eastAsia="仿宋" w:cs="仿宋"/>
          <w:b/>
          <w:bCs/>
          <w:sz w:val="28"/>
          <w:szCs w:val="28"/>
          <w:lang w:eastAsia="zh-CN"/>
        </w:rPr>
        <w:t>十</w:t>
      </w:r>
      <w:r>
        <w:rPr>
          <w:rFonts w:hint="eastAsia" w:ascii="仿宋" w:hAnsi="仿宋" w:eastAsia="仿宋" w:cs="仿宋"/>
          <w:b/>
          <w:bCs/>
          <w:sz w:val="28"/>
          <w:szCs w:val="28"/>
        </w:rPr>
        <w:t>条  双方确定，出现下列情形，致使本合同的履行成为不必要或不能的，可以解除本合同：</w:t>
      </w:r>
    </w:p>
    <w:p>
      <w:pPr>
        <w:numPr>
          <w:ilvl w:val="0"/>
          <w:numId w:val="9"/>
        </w:numPr>
        <w:spacing w:line="480" w:lineRule="exact"/>
        <w:rPr>
          <w:rFonts w:ascii="仿宋" w:hAnsi="仿宋" w:eastAsia="仿宋" w:cs="仿宋"/>
          <w:sz w:val="28"/>
          <w:szCs w:val="28"/>
        </w:rPr>
      </w:pPr>
      <w:r>
        <w:rPr>
          <w:rFonts w:hint="eastAsia" w:ascii="仿宋" w:hAnsi="仿宋" w:eastAsia="仿宋" w:cs="仿宋"/>
          <w:sz w:val="28"/>
          <w:szCs w:val="28"/>
        </w:rPr>
        <w:t>发生不可抗力。</w:t>
      </w:r>
    </w:p>
    <w:p>
      <w:pPr>
        <w:numPr>
          <w:ilvl w:val="0"/>
          <w:numId w:val="9"/>
        </w:numPr>
        <w:spacing w:line="48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numPr>
          <w:ilvl w:val="0"/>
          <w:numId w:val="9"/>
        </w:numPr>
        <w:spacing w:line="48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第十</w:t>
      </w:r>
      <w:r>
        <w:rPr>
          <w:rFonts w:hint="eastAsia" w:ascii="仿宋" w:hAnsi="仿宋" w:eastAsia="仿宋" w:cs="仿宋"/>
          <w:b/>
          <w:bCs/>
          <w:sz w:val="28"/>
          <w:szCs w:val="28"/>
          <w:lang w:eastAsia="zh-CN"/>
        </w:rPr>
        <w:t>一</w:t>
      </w:r>
      <w:r>
        <w:rPr>
          <w:rFonts w:hint="eastAsia" w:ascii="仿宋" w:hAnsi="仿宋" w:eastAsia="仿宋" w:cs="仿宋"/>
          <w:b/>
          <w:bCs/>
          <w:sz w:val="28"/>
          <w:szCs w:val="28"/>
        </w:rPr>
        <w:t>条  争议的解决办法</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spacing w:line="480" w:lineRule="exact"/>
        <w:jc w:val="left"/>
        <w:rPr>
          <w:rFonts w:ascii="仿宋" w:hAnsi="仿宋" w:eastAsia="仿宋" w:cs="仿宋"/>
          <w:b/>
          <w:bCs/>
          <w:sz w:val="28"/>
          <w:szCs w:val="28"/>
        </w:rPr>
      </w:pPr>
      <w:r>
        <w:rPr>
          <w:rFonts w:hint="eastAsia" w:ascii="仿宋" w:hAnsi="仿宋" w:eastAsia="仿宋" w:cs="仿宋"/>
          <w:b/>
          <w:bCs/>
          <w:sz w:val="28"/>
          <w:szCs w:val="28"/>
        </w:rPr>
        <w:t>第十</w:t>
      </w:r>
      <w:r>
        <w:rPr>
          <w:rFonts w:hint="eastAsia" w:ascii="仿宋" w:hAnsi="仿宋" w:eastAsia="仿宋" w:cs="仿宋"/>
          <w:b/>
          <w:bCs/>
          <w:sz w:val="28"/>
          <w:szCs w:val="28"/>
          <w:lang w:eastAsia="zh-CN"/>
        </w:rPr>
        <w:t>二</w:t>
      </w:r>
      <w:r>
        <w:rPr>
          <w:rFonts w:hint="eastAsia" w:ascii="仿宋" w:hAnsi="仿宋" w:eastAsia="仿宋" w:cs="仿宋"/>
          <w:b/>
          <w:bCs/>
          <w:sz w:val="28"/>
          <w:szCs w:val="28"/>
        </w:rPr>
        <w:t>条 其他</w:t>
      </w:r>
    </w:p>
    <w:p>
      <w:pPr>
        <w:numPr>
          <w:ilvl w:val="0"/>
          <w:numId w:val="10"/>
        </w:numPr>
        <w:spacing w:line="48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numPr>
          <w:ilvl w:val="0"/>
          <w:numId w:val="10"/>
        </w:numPr>
        <w:spacing w:line="480" w:lineRule="exact"/>
        <w:rPr>
          <w:rFonts w:ascii="仿宋" w:hAnsi="仿宋" w:eastAsia="仿宋" w:cs="仿宋"/>
          <w:sz w:val="28"/>
          <w:szCs w:val="28"/>
        </w:rPr>
      </w:pPr>
      <w:r>
        <w:rPr>
          <w:rFonts w:hint="eastAsia" w:ascii="仿宋" w:hAnsi="仿宋" w:eastAsia="仿宋" w:cs="仿宋"/>
          <w:sz w:val="28"/>
          <w:szCs w:val="28"/>
          <w:lang w:bidi="ar"/>
        </w:rPr>
        <w:t>甲、乙双方在本协议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p>
    <w:p>
      <w:pPr>
        <w:numPr>
          <w:ilvl w:val="0"/>
          <w:numId w:val="10"/>
        </w:numPr>
        <w:spacing w:line="480" w:lineRule="exact"/>
        <w:rPr>
          <w:rFonts w:ascii="仿宋" w:hAnsi="仿宋" w:eastAsia="仿宋" w:cs="仿宋"/>
          <w:sz w:val="28"/>
          <w:szCs w:val="28"/>
        </w:rPr>
      </w:pPr>
      <w:r>
        <w:rPr>
          <w:rFonts w:hint="eastAsia" w:ascii="仿宋" w:hAnsi="仿宋" w:eastAsia="仿宋" w:cs="仿宋"/>
          <w:sz w:val="28"/>
          <w:szCs w:val="28"/>
        </w:rPr>
        <w:t>本合同一式肆份，自双方签字和盖章后生效。甲方执叁份、乙方执壹份，具有同等法律效力。</w:t>
      </w:r>
    </w:p>
    <w:p>
      <w:pPr>
        <w:pStyle w:val="11"/>
        <w:numPr>
          <w:ilvl w:val="0"/>
          <w:numId w:val="10"/>
        </w:numPr>
        <w:spacing w:line="480" w:lineRule="exact"/>
        <w:ind w:firstLineChars="0"/>
        <w:rPr>
          <w:rFonts w:hint="eastAsia" w:ascii="仿宋_GB2312" w:hAnsi="仿宋_GB2312" w:cs="仿宋_GB2312"/>
          <w:sz w:val="28"/>
          <w:szCs w:val="28"/>
        </w:rPr>
      </w:pPr>
      <w:r>
        <w:rPr>
          <w:rFonts w:hint="eastAsia" w:ascii="仿宋_GB2312" w:hAnsi="仿宋_GB2312" w:cs="仿宋_GB2312"/>
          <w:sz w:val="28"/>
          <w:szCs w:val="28"/>
        </w:rPr>
        <w:t>以下为本合同附件，与本合同具有同等效力：</w:t>
      </w:r>
    </w:p>
    <w:p>
      <w:pPr>
        <w:pStyle w:val="11"/>
        <w:numPr>
          <w:ilvl w:val="0"/>
          <w:numId w:val="11"/>
        </w:numPr>
        <w:spacing w:line="480" w:lineRule="exact"/>
        <w:ind w:firstLine="608"/>
        <w:rPr>
          <w:rFonts w:hint="eastAsia" w:ascii="仿宋_GB2312" w:hAnsi="仿宋_GB2312" w:cs="仿宋_GB2312"/>
          <w:sz w:val="28"/>
          <w:szCs w:val="28"/>
        </w:rPr>
      </w:pPr>
      <w:r>
        <w:rPr>
          <w:rFonts w:hint="eastAsia" w:ascii="仿宋_GB2312" w:hAnsi="仿宋_GB2312" w:cs="仿宋_GB2312"/>
          <w:sz w:val="28"/>
          <w:szCs w:val="28"/>
        </w:rPr>
        <w:t>项目采购公告；</w:t>
      </w:r>
    </w:p>
    <w:p>
      <w:pPr>
        <w:pStyle w:val="11"/>
        <w:numPr>
          <w:ilvl w:val="0"/>
          <w:numId w:val="11"/>
        </w:numPr>
        <w:spacing w:line="480" w:lineRule="exact"/>
        <w:ind w:firstLine="608"/>
        <w:rPr>
          <w:rFonts w:hint="eastAsia" w:ascii="仿宋_GB2312" w:hAnsi="仿宋_GB2312" w:cs="仿宋_GB2312"/>
          <w:sz w:val="28"/>
          <w:szCs w:val="28"/>
        </w:rPr>
      </w:pPr>
      <w:r>
        <w:rPr>
          <w:rFonts w:hint="eastAsia" w:ascii="仿宋_GB2312" w:hAnsi="仿宋_GB2312" w:cs="仿宋_GB2312"/>
          <w:sz w:val="28"/>
          <w:szCs w:val="28"/>
        </w:rPr>
        <w:t>江门市市场监督管理局相关项目采购结果公告；</w:t>
      </w:r>
    </w:p>
    <w:p>
      <w:pPr>
        <w:pStyle w:val="11"/>
        <w:numPr>
          <w:ilvl w:val="0"/>
          <w:numId w:val="11"/>
        </w:numPr>
        <w:ind w:firstLine="608"/>
        <w:rPr>
          <w:rFonts w:ascii="仿宋" w:hAnsi="仿宋" w:eastAsia="仿宋" w:cs="仿宋"/>
          <w:szCs w:val="28"/>
        </w:rPr>
      </w:pPr>
      <w:r>
        <w:rPr>
          <w:rFonts w:hint="eastAsia" w:ascii="仿宋_GB2312" w:hAnsi="仿宋_GB2312" w:cs="仿宋_GB2312"/>
          <w:sz w:val="28"/>
          <w:szCs w:val="28"/>
        </w:rPr>
        <w:t>其他附件及补充合同等资料。</w:t>
      </w:r>
    </w:p>
    <w:p>
      <w:pPr>
        <w:spacing w:before="156" w:beforeLines="50" w:line="480" w:lineRule="exact"/>
        <w:ind w:firstLine="560" w:firstLineChars="200"/>
        <w:rPr>
          <w:rFonts w:ascii="仿宋" w:hAnsi="仿宋" w:eastAsia="仿宋" w:cs="仿宋"/>
          <w:sz w:val="28"/>
          <w:szCs w:val="28"/>
        </w:rPr>
      </w:pPr>
      <w:r>
        <w:rPr>
          <w:rFonts w:hint="eastAsia" w:ascii="仿宋" w:hAnsi="仿宋" w:eastAsia="仿宋" w:cs="仿宋"/>
          <w:sz w:val="28"/>
          <w:szCs w:val="28"/>
        </w:rPr>
        <w:t>（以下无正文）</w:t>
      </w:r>
    </w:p>
    <w:p>
      <w:pPr>
        <w:spacing w:line="480" w:lineRule="exact"/>
        <w:rPr>
          <w:rFonts w:ascii="仿宋" w:hAnsi="仿宋" w:eastAsia="仿宋" w:cs="仿宋"/>
          <w:sz w:val="28"/>
          <w:szCs w:val="28"/>
        </w:rPr>
      </w:pPr>
    </w:p>
    <w:p>
      <w:pPr>
        <w:pStyle w:val="11"/>
        <w:ind w:firstLine="608"/>
        <w:rPr>
          <w:rFonts w:ascii="仿宋" w:hAnsi="仿宋" w:eastAsia="仿宋" w:cs="仿宋"/>
          <w:szCs w:val="28"/>
        </w:rPr>
      </w:pPr>
    </w:p>
    <w:p>
      <w:pPr>
        <w:spacing w:line="48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 xml:space="preserve">：江门市市场监督管理局  </w:t>
      </w:r>
    </w:p>
    <w:p>
      <w:pPr>
        <w:spacing w:line="48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法定代表人或授权委托人：（签字）    </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p>
      <w:pPr>
        <w:spacing w:line="480" w:lineRule="exact"/>
        <w:rPr>
          <w:rFonts w:ascii="仿宋" w:hAnsi="仿宋" w:eastAsia="仿宋" w:cs="仿宋"/>
          <w:sz w:val="28"/>
          <w:szCs w:val="28"/>
        </w:rPr>
      </w:pPr>
      <w:r>
        <w:rPr>
          <w:rFonts w:hint="eastAsia" w:ascii="仿宋" w:hAnsi="仿宋" w:eastAsia="仿宋" w:cs="仿宋"/>
          <w:sz w:val="28"/>
          <w:szCs w:val="28"/>
        </w:rPr>
        <w:t xml:space="preserve"> </w:t>
      </w:r>
    </w:p>
    <w:p>
      <w:pPr>
        <w:spacing w:line="48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spacing w:line="48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MS Sans Serif">
    <w:altName w:val="Agency FB"/>
    <w:panose1 w:val="00000000000000000000"/>
    <w:charset w:val="00"/>
    <w:family w:val="swiss"/>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Helvetica Neue">
    <w:altName w:val="DejaVu Math TeX Gyre"/>
    <w:panose1 w:val="02000503000000020004"/>
    <w:charset w:val="00"/>
    <w:family w:val="auto"/>
    <w:pitch w:val="default"/>
    <w:sig w:usb0="00000000" w:usb1="00000000" w:usb2="00000010" w:usb3="00000000" w:csb0="00000000" w:csb1="00000000"/>
  </w:font>
  <w:font w:name="微软雅黑">
    <w:panose1 w:val="020B0503020204020204"/>
    <w:charset w:val="86"/>
    <w:family w:val="auto"/>
    <w:pitch w:val="default"/>
    <w:sig w:usb0="80000287" w:usb1="28CF3C52" w:usb2="00000016" w:usb3="00000000" w:csb0="0004001F"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9</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FgAAAGRycy9QSwECFAAUAAAACACHTuJAs0lY7tAAAAAF&#10;AQAADwAAAAAAAAABACAAAAA4AAAAZHJzL2Rvd25yZXYueG1sUEsBAhQAFAAAAAgAh07iQPpO5poO&#10;AgAABwQAAA4AAAAAAAAAAQAgAAAANQEAAGRycy9lMm9Eb2MueG1sUEsFBgAAAAAGAAYAWQEAALUF&#10;AAAAAA==&#10;">
              <v:fill on="f" focussize="0,0"/>
              <v:stroke on="f" weight="0.5pt"/>
              <v:imagedata o:title=""/>
              <o:lock v:ext="edit" aspectratio="f"/>
              <v:textbox inset="0mm,0mm,0mm,0mm" style="mso-fit-shape-to-text:t;">
                <w:txbxContent>
                  <w:p>
                    <w:pPr>
                      <w:pStyle w:val="8"/>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9</w:t>
                    </w:r>
                    <w:r>
                      <w:rPr>
                        <w:rFonts w:hint="eastAsia"/>
                      </w:rP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4">
    <w:nsid w:val="18DE4D53"/>
    <w:multiLevelType w:val="singleLevel"/>
    <w:tmpl w:val="18DE4D53"/>
    <w:lvl w:ilvl="0" w:tentative="0">
      <w:start w:val="8"/>
      <w:numFmt w:val="chineseCounting"/>
      <w:suff w:val="space"/>
      <w:lvlText w:val="第%1条"/>
      <w:lvlJc w:val="left"/>
      <w:rPr>
        <w:rFonts w:hint="eastAsia"/>
      </w:rPr>
    </w:lvl>
  </w:abstractNum>
  <w:abstractNum w:abstractNumId="5">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6">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7">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8">
    <w:nsid w:val="60ADB7F8"/>
    <w:multiLevelType w:val="singleLevel"/>
    <w:tmpl w:val="60ADB7F8"/>
    <w:lvl w:ilvl="0" w:tentative="0">
      <w:start w:val="1"/>
      <w:numFmt w:val="decimal"/>
      <w:suff w:val="nothing"/>
      <w:lvlText w:val="%1、"/>
      <w:lvlJc w:val="left"/>
    </w:lvl>
  </w:abstractNum>
  <w:abstractNum w:abstractNumId="9">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10">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3"/>
  </w:num>
  <w:num w:numId="2">
    <w:abstractNumId w:val="8"/>
  </w:num>
  <w:num w:numId="3">
    <w:abstractNumId w:val="9"/>
  </w:num>
  <w:num w:numId="4">
    <w:abstractNumId w:val="10"/>
  </w:num>
  <w:num w:numId="5">
    <w:abstractNumId w:val="1"/>
  </w:num>
  <w:num w:numId="6">
    <w:abstractNumId w:val="6"/>
  </w:num>
  <w:num w:numId="7">
    <w:abstractNumId w:val="4"/>
  </w:num>
  <w:num w:numId="8">
    <w:abstractNumId w:val="5"/>
  </w:num>
  <w:num w:numId="9">
    <w:abstractNumId w:val="2"/>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675"/>
    <w:rsid w:val="00020DD5"/>
    <w:rsid w:val="000735A6"/>
    <w:rsid w:val="000F477F"/>
    <w:rsid w:val="00201EA2"/>
    <w:rsid w:val="003D2A44"/>
    <w:rsid w:val="005B7C59"/>
    <w:rsid w:val="00784090"/>
    <w:rsid w:val="00966675"/>
    <w:rsid w:val="00AE5953"/>
    <w:rsid w:val="00DB3F27"/>
    <w:rsid w:val="00F573A0"/>
    <w:rsid w:val="00F83EB1"/>
    <w:rsid w:val="09D77ACF"/>
    <w:rsid w:val="09DE0A66"/>
    <w:rsid w:val="0BEA35C3"/>
    <w:rsid w:val="0DDF3CA5"/>
    <w:rsid w:val="0FB72321"/>
    <w:rsid w:val="10FC4243"/>
    <w:rsid w:val="171724B5"/>
    <w:rsid w:val="19FDA202"/>
    <w:rsid w:val="1A19383D"/>
    <w:rsid w:val="1FDF0FEF"/>
    <w:rsid w:val="20075F93"/>
    <w:rsid w:val="24EE444C"/>
    <w:rsid w:val="28F2788A"/>
    <w:rsid w:val="293A0576"/>
    <w:rsid w:val="2D016C87"/>
    <w:rsid w:val="2FFFA201"/>
    <w:rsid w:val="35BF09F9"/>
    <w:rsid w:val="3773E753"/>
    <w:rsid w:val="37E3759C"/>
    <w:rsid w:val="391A5AE0"/>
    <w:rsid w:val="3A7DDB92"/>
    <w:rsid w:val="3AE547A7"/>
    <w:rsid w:val="3B19643C"/>
    <w:rsid w:val="3D96C253"/>
    <w:rsid w:val="3DC33BEA"/>
    <w:rsid w:val="3F3F02A9"/>
    <w:rsid w:val="3FA76621"/>
    <w:rsid w:val="3FE44352"/>
    <w:rsid w:val="404A6C17"/>
    <w:rsid w:val="43F43818"/>
    <w:rsid w:val="47C7B3FB"/>
    <w:rsid w:val="4B562BFB"/>
    <w:rsid w:val="4CE65427"/>
    <w:rsid w:val="4D261BEA"/>
    <w:rsid w:val="4DD70C4E"/>
    <w:rsid w:val="4FFD6049"/>
    <w:rsid w:val="53BB212A"/>
    <w:rsid w:val="5789094D"/>
    <w:rsid w:val="59BFD042"/>
    <w:rsid w:val="5BB2671C"/>
    <w:rsid w:val="5BFDB08B"/>
    <w:rsid w:val="5EBFB560"/>
    <w:rsid w:val="67CAD1C3"/>
    <w:rsid w:val="68DF509E"/>
    <w:rsid w:val="690D3BC4"/>
    <w:rsid w:val="693B3F28"/>
    <w:rsid w:val="6B7E7578"/>
    <w:rsid w:val="6C7B1287"/>
    <w:rsid w:val="6F5F4F93"/>
    <w:rsid w:val="6FF703B5"/>
    <w:rsid w:val="71FF92FA"/>
    <w:rsid w:val="72AF67A9"/>
    <w:rsid w:val="736A24FA"/>
    <w:rsid w:val="76A81E4D"/>
    <w:rsid w:val="77FD50ED"/>
    <w:rsid w:val="78FAE21D"/>
    <w:rsid w:val="79276609"/>
    <w:rsid w:val="7ABAD380"/>
    <w:rsid w:val="7B7E5AD3"/>
    <w:rsid w:val="7BFD5241"/>
    <w:rsid w:val="7CFBF20F"/>
    <w:rsid w:val="7EFEE140"/>
    <w:rsid w:val="7F7A05EB"/>
    <w:rsid w:val="7FDA17F3"/>
    <w:rsid w:val="7FDABB82"/>
    <w:rsid w:val="7FFBB4BF"/>
    <w:rsid w:val="7FFDC820"/>
    <w:rsid w:val="7FFFC161"/>
    <w:rsid w:val="855F9B6D"/>
    <w:rsid w:val="95F7C4D6"/>
    <w:rsid w:val="9B5E5AB4"/>
    <w:rsid w:val="AFBD408F"/>
    <w:rsid w:val="B57DD0A3"/>
    <w:rsid w:val="BF3119E2"/>
    <w:rsid w:val="CFFF0E90"/>
    <w:rsid w:val="D0FF76BD"/>
    <w:rsid w:val="D3FB82B1"/>
    <w:rsid w:val="D6E3F6FE"/>
    <w:rsid w:val="D7D566C1"/>
    <w:rsid w:val="E6F576C6"/>
    <w:rsid w:val="EDFFF93D"/>
    <w:rsid w:val="EEBEA368"/>
    <w:rsid w:val="F137789C"/>
    <w:rsid w:val="F69E4C3F"/>
    <w:rsid w:val="F73F04C6"/>
    <w:rsid w:val="F73F9D8F"/>
    <w:rsid w:val="FBFF8709"/>
    <w:rsid w:val="FDFF6184"/>
    <w:rsid w:val="FFB7755C"/>
    <w:rsid w:val="FFEF0FA7"/>
    <w:rsid w:val="FFF1391B"/>
    <w:rsid w:val="FFF696D6"/>
    <w:rsid w:val="FFF8AE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paragraph" w:styleId="3">
    <w:name w:val="heading 3"/>
    <w:basedOn w:val="1"/>
    <w:next w:val="1"/>
    <w:qFormat/>
    <w:uiPriority w:val="9"/>
    <w:pPr>
      <w:keepNext/>
      <w:keepLines/>
      <w:spacing w:before="260" w:after="260" w:line="416" w:lineRule="auto"/>
      <w:outlineLvl w:val="2"/>
    </w:pPr>
    <w:rPr>
      <w:rFonts w:ascii="楷体" w:hAnsi="楷体" w:eastAsia="楷体_GB2312"/>
      <w:bCs/>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10"/>
    <w:pPr>
      <w:spacing w:before="240" w:after="60"/>
      <w:jc w:val="center"/>
      <w:outlineLvl w:val="0"/>
    </w:pPr>
    <w:rPr>
      <w:rFonts w:ascii="Cambria" w:hAnsi="Cambria" w:eastAsia="宋体"/>
      <w:b/>
      <w:bCs/>
      <w:sz w:val="32"/>
      <w:szCs w:val="32"/>
    </w:rPr>
  </w:style>
  <w:style w:type="paragraph" w:styleId="4">
    <w:name w:val="Normal Indent"/>
    <w:basedOn w:val="1"/>
    <w:qFormat/>
    <w:uiPriority w:val="99"/>
    <w:pPr>
      <w:widowControl/>
      <w:ind w:firstLine="420" w:firstLineChars="200"/>
    </w:pPr>
  </w:style>
  <w:style w:type="paragraph" w:styleId="5">
    <w:name w:val="annotation text"/>
    <w:basedOn w:val="1"/>
    <w:qFormat/>
    <w:uiPriority w:val="0"/>
    <w:pPr>
      <w:jc w:val="left"/>
    </w:pPr>
  </w:style>
  <w:style w:type="paragraph" w:styleId="6">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7">
    <w:name w:val="Balloon Text"/>
    <w:basedOn w:val="1"/>
    <w:link w:val="15"/>
    <w:qFormat/>
    <w:uiPriority w:val="0"/>
    <w:rPr>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0"/>
    <w:rPr>
      <w:sz w:val="24"/>
    </w:rPr>
  </w:style>
  <w:style w:type="paragraph" w:styleId="11">
    <w:name w:val="Body Text First Indent 2"/>
    <w:basedOn w:val="6"/>
    <w:qFormat/>
    <w:uiPriority w:val="0"/>
    <w:pPr>
      <w:ind w:firstLine="420" w:firstLineChars="200"/>
    </w:pPr>
    <w:rPr>
      <w:rFonts w:ascii="宋体" w:hAnsi="MS Sans Serif"/>
      <w:spacing w:val="12"/>
    </w:rPr>
  </w:style>
  <w:style w:type="character" w:styleId="14">
    <w:name w:val="Strong"/>
    <w:basedOn w:val="13"/>
    <w:qFormat/>
    <w:uiPriority w:val="0"/>
    <w:rPr>
      <w:b/>
    </w:rPr>
  </w:style>
  <w:style w:type="character" w:customStyle="1" w:styleId="15">
    <w:name w:val="批注框文本 Char"/>
    <w:basedOn w:val="13"/>
    <w:link w:val="7"/>
    <w:qFormat/>
    <w:uiPriority w:val="0"/>
    <w:rPr>
      <w:rFonts w:eastAsia="仿宋_GB2312"/>
      <w:kern w:val="2"/>
      <w:sz w:val="18"/>
      <w:szCs w:val="18"/>
    </w:rPr>
  </w:style>
  <w:style w:type="paragraph" w:customStyle="1" w:styleId="16">
    <w:name w:val="普通(网站)1"/>
    <w:basedOn w:val="1"/>
    <w:qFormat/>
    <w:uiPriority w:val="0"/>
    <w:pPr>
      <w:jc w:val="left"/>
    </w:pPr>
    <w:rPr>
      <w:rFonts w:ascii="Calibri" w:hAnsi="Calibri" w:cs="黑体"/>
      <w:kern w:val="0"/>
      <w:sz w:val="24"/>
      <w:szCs w:val="24"/>
    </w:rPr>
  </w:style>
  <w:style w:type="paragraph" w:styleId="17">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11</Pages>
  <Words>5678</Words>
  <Characters>5804</Characters>
  <Lines>8</Lines>
  <Paragraphs>12</Paragraphs>
  <TotalTime>22</TotalTime>
  <ScaleCrop>false</ScaleCrop>
  <LinksUpToDate>false</LinksUpToDate>
  <CharactersWithSpaces>5935</CharactersWithSpaces>
  <Application>WPS Office_11.8.2.10605_F1E327BC-269C-435d-A152-05C5408002CA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2021-06-01T02:58:00Z</dcterms:created>
  <dc:creator>Administrator</dc:creator>
  <cp:lastModifiedBy>greatwall</cp:lastModifiedBy>
  <dcterms:modified xsi:type="dcterms:W3CDTF">2026-04-15T15:09:27Z</dcterms:modified>
  <dc:title>2020年江门市工业产品生产许可证证后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2052-11.8.2.10605</vt:lpwstr>
  </property>
  <property fmtid="{D5CDD505-2E9C-101B-9397-08002B2CF9AE}" pid="3" name="ICV">
    <vt:lpwstr>AE3289EE5F7DD24C3736DA673018F3B2</vt:lpwstr>
  </property>
  <property fmtid="{D5CDD505-2E9C-101B-9397-08002B2CF9AE}" pid="4" name="KSOTemplateDocerSaveRecord">
    <vt:lpwstr>eyJoZGlkIjoiNTQ4YzZjMzY1NDdkN2MyZjI4YTU5YmNlZmI5NTQ4YWQiLCJ1c2VySWQiOiI1NjI2MjAzMTUifQ==</vt:lpwstr>
  </property>
</Properties>
</file>