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19BB8">
      <w:pPr>
        <w:rPr>
          <w:rFonts w:hint="default" w:ascii="Times New Roman" w:hAnsi="Times New Roman" w:eastAsia="方正黑体简体" w:cs="Times New Roman"/>
          <w:i w:val="0"/>
          <w:iCs w:val="0"/>
          <w:caps w:val="0"/>
          <w:color w:val="auto"/>
          <w:spacing w:val="0"/>
          <w:sz w:val="30"/>
          <w:szCs w:val="30"/>
          <w:shd w:val="clear" w:color="auto" w:fill="FFFFFF"/>
          <w:lang w:val="en-US" w:eastAsia="zh-CN"/>
        </w:rPr>
      </w:pPr>
      <w:r>
        <w:rPr>
          <w:rFonts w:hint="default" w:ascii="Times New Roman" w:hAnsi="Times New Roman" w:eastAsia="方正黑体_GBK" w:cs="Times New Roman"/>
          <w:i w:val="0"/>
          <w:iCs w:val="0"/>
          <w:caps w:val="0"/>
          <w:color w:val="auto"/>
          <w:spacing w:val="0"/>
          <w:sz w:val="30"/>
          <w:szCs w:val="30"/>
          <w:shd w:val="clear" w:color="auto" w:fill="FFFFFF"/>
          <w:lang w:eastAsia="zh-CN"/>
        </w:rPr>
        <w:t>附件</w:t>
      </w:r>
      <w:r>
        <w:rPr>
          <w:rFonts w:hint="default" w:ascii="Times New Roman" w:hAnsi="Times New Roman" w:eastAsia="方正黑体_GBK" w:cs="Times New Roman"/>
          <w:i w:val="0"/>
          <w:iCs w:val="0"/>
          <w:caps w:val="0"/>
          <w:color w:val="auto"/>
          <w:spacing w:val="0"/>
          <w:sz w:val="30"/>
          <w:szCs w:val="30"/>
          <w:shd w:val="clear" w:color="auto" w:fill="FFFFFF"/>
          <w:lang w:val="en-US" w:eastAsia="zh-CN"/>
        </w:rPr>
        <w:t>2</w:t>
      </w:r>
      <w:r>
        <w:rPr>
          <w:rFonts w:hint="default" w:ascii="Times New Roman" w:hAnsi="Times New Roman" w:eastAsia="方正黑体简体" w:cs="Times New Roman"/>
          <w:i w:val="0"/>
          <w:iCs w:val="0"/>
          <w:caps w:val="0"/>
          <w:color w:val="auto"/>
          <w:spacing w:val="0"/>
          <w:sz w:val="30"/>
          <w:szCs w:val="30"/>
          <w:shd w:val="clear" w:color="auto" w:fill="FFFFFF"/>
          <w:lang w:val="en-US" w:eastAsia="zh-CN"/>
        </w:rPr>
        <w:t xml:space="preserve">               </w:t>
      </w:r>
      <w:r>
        <w:rPr>
          <w:rFonts w:hint="default" w:ascii="Times New Roman" w:hAnsi="Times New Roman" w:eastAsia="方正大标宋_GBK" w:cs="Times New Roman"/>
          <w:i w:val="0"/>
          <w:iCs w:val="0"/>
          <w:caps w:val="0"/>
          <w:color w:val="auto"/>
          <w:spacing w:val="0"/>
          <w:sz w:val="42"/>
          <w:szCs w:val="42"/>
          <w:shd w:val="clear" w:color="auto" w:fill="FFFFFF"/>
          <w:lang w:val="en-US" w:eastAsia="zh-CN"/>
        </w:rPr>
        <w:t xml:space="preserve"> 评分细则</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1260"/>
        <w:gridCol w:w="735"/>
        <w:gridCol w:w="5117"/>
      </w:tblGrid>
      <w:tr w14:paraId="0D0D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top"/>
          </w:tcPr>
          <w:p w14:paraId="197A7E94">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方正黑体_GBK" w:cs="Times New Roman"/>
                <w:sz w:val="24"/>
                <w:szCs w:val="24"/>
                <w:highlight w:val="none"/>
                <w:vertAlign w:val="baseline"/>
                <w:lang w:val="en-US" w:eastAsia="zh-CN"/>
              </w:rPr>
            </w:pPr>
            <w:r>
              <w:rPr>
                <w:rFonts w:hint="default" w:ascii="Times New Roman" w:hAnsi="Times New Roman" w:eastAsia="方正黑体_GBK" w:cs="Times New Roman"/>
                <w:sz w:val="24"/>
                <w:szCs w:val="24"/>
                <w:highlight w:val="none"/>
                <w:vertAlign w:val="baseline"/>
                <w:lang w:val="en-US" w:eastAsia="zh-CN"/>
              </w:rPr>
              <w:t>评审因素</w:t>
            </w:r>
          </w:p>
        </w:tc>
        <w:tc>
          <w:tcPr>
            <w:tcW w:w="1260" w:type="dxa"/>
            <w:noWrap w:val="0"/>
            <w:vAlign w:val="top"/>
          </w:tcPr>
          <w:p w14:paraId="11F3D85A">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方正黑体_GBK" w:cs="Times New Roman"/>
                <w:sz w:val="24"/>
                <w:szCs w:val="24"/>
                <w:highlight w:val="none"/>
                <w:vertAlign w:val="baseline"/>
                <w:lang w:val="en-US" w:eastAsia="zh-CN"/>
              </w:rPr>
            </w:pPr>
            <w:r>
              <w:rPr>
                <w:rFonts w:hint="default" w:ascii="Times New Roman" w:hAnsi="Times New Roman" w:eastAsia="方正黑体_GBK" w:cs="Times New Roman"/>
                <w:sz w:val="24"/>
                <w:szCs w:val="24"/>
                <w:highlight w:val="none"/>
                <w:vertAlign w:val="baseline"/>
                <w:lang w:val="en-US" w:eastAsia="zh-CN"/>
              </w:rPr>
              <w:t>评审子项</w:t>
            </w:r>
          </w:p>
        </w:tc>
        <w:tc>
          <w:tcPr>
            <w:tcW w:w="735" w:type="dxa"/>
            <w:noWrap w:val="0"/>
            <w:vAlign w:val="top"/>
          </w:tcPr>
          <w:p w14:paraId="1AC6D307">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方正黑体_GBK" w:cs="Times New Roman"/>
                <w:sz w:val="24"/>
                <w:szCs w:val="24"/>
                <w:highlight w:val="none"/>
                <w:vertAlign w:val="baseline"/>
                <w:lang w:val="en-US" w:eastAsia="zh-CN"/>
              </w:rPr>
            </w:pPr>
            <w:r>
              <w:rPr>
                <w:rFonts w:hint="default" w:ascii="Times New Roman" w:hAnsi="Times New Roman" w:eastAsia="方正黑体_GBK" w:cs="Times New Roman"/>
                <w:sz w:val="24"/>
                <w:szCs w:val="24"/>
                <w:highlight w:val="none"/>
                <w:vertAlign w:val="baseline"/>
                <w:lang w:val="en-US" w:eastAsia="zh-CN"/>
              </w:rPr>
              <w:t>分值</w:t>
            </w:r>
          </w:p>
        </w:tc>
        <w:tc>
          <w:tcPr>
            <w:tcW w:w="5117" w:type="dxa"/>
            <w:noWrap w:val="0"/>
            <w:vAlign w:val="top"/>
          </w:tcPr>
          <w:p w14:paraId="2A04AA14">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方正黑体_GBK" w:cs="Times New Roman"/>
                <w:sz w:val="24"/>
                <w:szCs w:val="24"/>
                <w:highlight w:val="none"/>
                <w:vertAlign w:val="baseline"/>
                <w:lang w:val="en-US" w:eastAsia="zh-CN"/>
              </w:rPr>
            </w:pPr>
            <w:r>
              <w:rPr>
                <w:rFonts w:hint="default" w:ascii="Times New Roman" w:hAnsi="Times New Roman" w:eastAsia="方正黑体_GBK" w:cs="Times New Roman"/>
                <w:sz w:val="24"/>
                <w:szCs w:val="24"/>
                <w:highlight w:val="none"/>
                <w:vertAlign w:val="baseline"/>
                <w:lang w:val="en-US" w:eastAsia="zh-CN"/>
              </w:rPr>
              <w:t>评审标准</w:t>
            </w:r>
          </w:p>
        </w:tc>
      </w:tr>
      <w:tr w14:paraId="1D09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7" w:hRule="atLeast"/>
        </w:trPr>
        <w:tc>
          <w:tcPr>
            <w:tcW w:w="1194" w:type="dxa"/>
            <w:vMerge w:val="restart"/>
            <w:noWrap w:val="0"/>
            <w:vAlign w:val="top"/>
          </w:tcPr>
          <w:p w14:paraId="028FF424">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lang w:val="en-US" w:eastAsia="zh-CN"/>
              </w:rPr>
            </w:pPr>
            <w:r>
              <w:rPr>
                <w:rFonts w:hint="default" w:ascii="Times New Roman" w:hAnsi="Times New Roman" w:eastAsia="仿宋" w:cs="Times New Roman"/>
                <w:sz w:val="24"/>
                <w:szCs w:val="24"/>
                <w:highlight w:val="none"/>
                <w:vertAlign w:val="baseline"/>
                <w:lang w:val="en-US" w:eastAsia="zh-CN"/>
              </w:rPr>
              <w:t>技术部分（35分）</w:t>
            </w:r>
          </w:p>
        </w:tc>
        <w:tc>
          <w:tcPr>
            <w:tcW w:w="1260" w:type="dxa"/>
            <w:noWrap w:val="0"/>
            <w:vAlign w:val="top"/>
          </w:tcPr>
          <w:p w14:paraId="04E4C363">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sz w:val="24"/>
                <w:szCs w:val="24"/>
                <w:highlight w:val="none"/>
                <w:vertAlign w:val="baseline"/>
              </w:rPr>
              <w:t>运维实施方案</w:t>
            </w:r>
          </w:p>
        </w:tc>
        <w:tc>
          <w:tcPr>
            <w:tcW w:w="735" w:type="dxa"/>
            <w:noWrap w:val="0"/>
            <w:vAlign w:val="top"/>
          </w:tcPr>
          <w:p w14:paraId="43AF3B50">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lang w:val="en-US" w:eastAsia="zh-CN"/>
              </w:rPr>
            </w:pPr>
            <w:r>
              <w:rPr>
                <w:rFonts w:hint="default" w:ascii="Times New Roman" w:hAnsi="Times New Roman" w:eastAsia="仿宋" w:cs="Times New Roman"/>
                <w:sz w:val="24"/>
                <w:szCs w:val="24"/>
                <w:highlight w:val="none"/>
                <w:vertAlign w:val="baseline"/>
                <w:lang w:val="en-US" w:eastAsia="zh-CN"/>
              </w:rPr>
              <w:t>20分</w:t>
            </w:r>
          </w:p>
        </w:tc>
        <w:tc>
          <w:tcPr>
            <w:tcW w:w="5117" w:type="dxa"/>
            <w:noWrap w:val="0"/>
            <w:vAlign w:val="top"/>
          </w:tcPr>
          <w:p w14:paraId="2C7F7025">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sz w:val="24"/>
                <w:szCs w:val="24"/>
                <w:highlight w:val="none"/>
                <w:vertAlign w:val="baseline"/>
              </w:rPr>
              <w:t>根据采购需求内容的要求，对投标人提供的运维实施方案（含巡检、维护、测试、故障处置流程等）进行评审：1.方案科学合理，内容详细全面，流程规范，针对性强，完全满足且优于采购需求，得</w:t>
            </w:r>
            <w:r>
              <w:rPr>
                <w:rFonts w:hint="default" w:ascii="Times New Roman" w:hAnsi="Times New Roman" w:eastAsia="仿宋" w:cs="Times New Roman"/>
                <w:sz w:val="24"/>
                <w:szCs w:val="24"/>
                <w:highlight w:val="none"/>
                <w:vertAlign w:val="baseline"/>
                <w:lang w:val="en-US" w:eastAsia="zh-CN"/>
              </w:rPr>
              <w:t>20</w:t>
            </w:r>
            <w:r>
              <w:rPr>
                <w:rFonts w:hint="default" w:ascii="Times New Roman" w:hAnsi="Times New Roman" w:eastAsia="仿宋" w:cs="Times New Roman"/>
                <w:sz w:val="24"/>
                <w:szCs w:val="24"/>
                <w:highlight w:val="none"/>
                <w:vertAlign w:val="baseline"/>
              </w:rPr>
              <w:t xml:space="preserve">分；2.方案较合理，内容较详细，流程较规范，完全满足采购需求，得 </w:t>
            </w:r>
            <w:r>
              <w:rPr>
                <w:rFonts w:hint="default" w:ascii="Times New Roman" w:hAnsi="Times New Roman" w:eastAsia="仿宋" w:cs="Times New Roman"/>
                <w:sz w:val="24"/>
                <w:szCs w:val="24"/>
                <w:highlight w:val="none"/>
                <w:vertAlign w:val="baseline"/>
                <w:lang w:val="en-US" w:eastAsia="zh-CN"/>
              </w:rPr>
              <w:t>15</w:t>
            </w:r>
            <w:r>
              <w:rPr>
                <w:rFonts w:hint="default" w:ascii="Times New Roman" w:hAnsi="Times New Roman" w:eastAsia="仿宋" w:cs="Times New Roman"/>
                <w:sz w:val="24"/>
                <w:szCs w:val="24"/>
                <w:highlight w:val="none"/>
                <w:vertAlign w:val="baseline"/>
              </w:rPr>
              <w:t xml:space="preserve"> 分；3.方案合理性一般，内容简单，流程不完整，不完全满足采购需求，得</w:t>
            </w:r>
            <w:r>
              <w:rPr>
                <w:rFonts w:hint="default" w:ascii="Times New Roman" w:hAnsi="Times New Roman" w:eastAsia="仿宋" w:cs="Times New Roman"/>
                <w:sz w:val="24"/>
                <w:szCs w:val="24"/>
                <w:highlight w:val="none"/>
                <w:vertAlign w:val="baseline"/>
                <w:lang w:val="en-US" w:eastAsia="zh-CN"/>
              </w:rPr>
              <w:t>10</w:t>
            </w:r>
            <w:r>
              <w:rPr>
                <w:rFonts w:hint="default" w:ascii="Times New Roman" w:hAnsi="Times New Roman" w:eastAsia="仿宋" w:cs="Times New Roman"/>
                <w:sz w:val="24"/>
                <w:szCs w:val="24"/>
                <w:highlight w:val="none"/>
                <w:vertAlign w:val="baseline"/>
              </w:rPr>
              <w:t>分；4.未提供方案的，得0分。</w:t>
            </w:r>
          </w:p>
        </w:tc>
      </w:tr>
      <w:tr w14:paraId="344B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Merge w:val="continue"/>
            <w:noWrap w:val="0"/>
            <w:vAlign w:val="top"/>
          </w:tcPr>
          <w:p w14:paraId="2A467FB1">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rPr>
            </w:pPr>
          </w:p>
        </w:tc>
        <w:tc>
          <w:tcPr>
            <w:tcW w:w="1260" w:type="dxa"/>
            <w:noWrap w:val="0"/>
            <w:vAlign w:val="top"/>
          </w:tcPr>
          <w:p w14:paraId="5632F95A">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sz w:val="24"/>
                <w:szCs w:val="24"/>
                <w:highlight w:val="none"/>
                <w:vertAlign w:val="baseline"/>
              </w:rPr>
              <w:t>应急保障方案</w:t>
            </w:r>
          </w:p>
        </w:tc>
        <w:tc>
          <w:tcPr>
            <w:tcW w:w="735" w:type="dxa"/>
            <w:noWrap w:val="0"/>
            <w:vAlign w:val="top"/>
          </w:tcPr>
          <w:p w14:paraId="1320F1D4">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lang w:val="en-US" w:eastAsia="zh-CN"/>
              </w:rPr>
            </w:pPr>
            <w:r>
              <w:rPr>
                <w:rFonts w:hint="default" w:ascii="Times New Roman" w:hAnsi="Times New Roman" w:eastAsia="仿宋" w:cs="Times New Roman"/>
                <w:sz w:val="24"/>
                <w:szCs w:val="24"/>
                <w:highlight w:val="none"/>
                <w:vertAlign w:val="baseline"/>
                <w:lang w:val="en-US" w:eastAsia="zh-CN"/>
              </w:rPr>
              <w:t>15分</w:t>
            </w:r>
          </w:p>
        </w:tc>
        <w:tc>
          <w:tcPr>
            <w:tcW w:w="5117" w:type="dxa"/>
            <w:noWrap w:val="0"/>
            <w:vAlign w:val="top"/>
          </w:tcPr>
          <w:p w14:paraId="1BAC56AB">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sz w:val="24"/>
                <w:szCs w:val="24"/>
                <w:highlight w:val="none"/>
                <w:vertAlign w:val="baseline"/>
              </w:rPr>
              <w:t>根据采购需求内容的要求，对投标人提供的核应急保障方案（含故障应急、核事故应急处置保障等）进行评审：1.方案完善，</w:t>
            </w:r>
            <w:r>
              <w:rPr>
                <w:rFonts w:hint="default" w:ascii="Times New Roman" w:hAnsi="Times New Roman" w:eastAsia="仿宋" w:cs="Times New Roman"/>
                <w:sz w:val="24"/>
                <w:szCs w:val="24"/>
                <w:highlight w:val="none"/>
                <w:vertAlign w:val="baseline"/>
                <w:lang w:eastAsia="zh-CN"/>
              </w:rPr>
              <w:t>应急</w:t>
            </w:r>
            <w:r>
              <w:rPr>
                <w:rFonts w:hint="default" w:ascii="Times New Roman" w:hAnsi="Times New Roman" w:eastAsia="仿宋" w:cs="Times New Roman"/>
                <w:sz w:val="24"/>
                <w:szCs w:val="24"/>
                <w:highlight w:val="none"/>
                <w:vertAlign w:val="baseline"/>
              </w:rPr>
              <w:t xml:space="preserve">响应机制明确，保障措施到位，完全满足且优于采购需求，得 </w:t>
            </w:r>
            <w:r>
              <w:rPr>
                <w:rFonts w:hint="default" w:ascii="Times New Roman" w:hAnsi="Times New Roman" w:eastAsia="仿宋" w:cs="Times New Roman"/>
                <w:sz w:val="24"/>
                <w:szCs w:val="24"/>
                <w:highlight w:val="none"/>
                <w:vertAlign w:val="baseline"/>
                <w:lang w:val="en-US" w:eastAsia="zh-CN"/>
              </w:rPr>
              <w:t>15</w:t>
            </w:r>
            <w:r>
              <w:rPr>
                <w:rFonts w:hint="default" w:ascii="Times New Roman" w:hAnsi="Times New Roman" w:eastAsia="仿宋" w:cs="Times New Roman"/>
                <w:sz w:val="24"/>
                <w:szCs w:val="24"/>
                <w:highlight w:val="none"/>
                <w:vertAlign w:val="baseline"/>
              </w:rPr>
              <w:t>分；2.方案较完善，</w:t>
            </w:r>
            <w:r>
              <w:rPr>
                <w:rFonts w:hint="default" w:ascii="Times New Roman" w:hAnsi="Times New Roman" w:eastAsia="仿宋" w:cs="Times New Roman"/>
                <w:sz w:val="24"/>
                <w:szCs w:val="24"/>
                <w:highlight w:val="none"/>
                <w:vertAlign w:val="baseline"/>
                <w:lang w:eastAsia="zh-CN"/>
              </w:rPr>
              <w:t>应急</w:t>
            </w:r>
            <w:r>
              <w:rPr>
                <w:rFonts w:hint="default" w:ascii="Times New Roman" w:hAnsi="Times New Roman" w:eastAsia="仿宋" w:cs="Times New Roman"/>
                <w:sz w:val="24"/>
                <w:szCs w:val="24"/>
                <w:highlight w:val="none"/>
                <w:vertAlign w:val="baseline"/>
              </w:rPr>
              <w:t>响应机制较明确，保障措施较到位，完全满足采购需求，得</w:t>
            </w:r>
            <w:r>
              <w:rPr>
                <w:rFonts w:hint="default" w:ascii="Times New Roman" w:hAnsi="Times New Roman" w:eastAsia="仿宋" w:cs="Times New Roman"/>
                <w:sz w:val="24"/>
                <w:szCs w:val="24"/>
                <w:highlight w:val="none"/>
                <w:vertAlign w:val="baseline"/>
                <w:lang w:val="en-US" w:eastAsia="zh-CN"/>
              </w:rPr>
              <w:t>10</w:t>
            </w:r>
            <w:r>
              <w:rPr>
                <w:rFonts w:hint="default" w:ascii="Times New Roman" w:hAnsi="Times New Roman" w:eastAsia="仿宋" w:cs="Times New Roman"/>
                <w:sz w:val="24"/>
                <w:szCs w:val="24"/>
                <w:highlight w:val="none"/>
                <w:vertAlign w:val="baseline"/>
              </w:rPr>
              <w:t>分；3.方案不完善，</w:t>
            </w:r>
            <w:r>
              <w:rPr>
                <w:rFonts w:hint="default" w:ascii="Times New Roman" w:hAnsi="Times New Roman" w:eastAsia="仿宋" w:cs="Times New Roman"/>
                <w:sz w:val="24"/>
                <w:szCs w:val="24"/>
                <w:highlight w:val="none"/>
                <w:vertAlign w:val="baseline"/>
                <w:lang w:eastAsia="zh-CN"/>
              </w:rPr>
              <w:t>应急</w:t>
            </w:r>
            <w:r>
              <w:rPr>
                <w:rFonts w:hint="default" w:ascii="Times New Roman" w:hAnsi="Times New Roman" w:eastAsia="仿宋" w:cs="Times New Roman"/>
                <w:sz w:val="24"/>
                <w:szCs w:val="24"/>
                <w:highlight w:val="none"/>
                <w:vertAlign w:val="baseline"/>
              </w:rPr>
              <w:t>响应机制模糊，保障措施不足，不完全满足采购需求，得</w:t>
            </w:r>
            <w:r>
              <w:rPr>
                <w:rFonts w:hint="default" w:ascii="Times New Roman" w:hAnsi="Times New Roman" w:eastAsia="仿宋" w:cs="Times New Roman"/>
                <w:sz w:val="24"/>
                <w:szCs w:val="24"/>
                <w:highlight w:val="none"/>
                <w:vertAlign w:val="baseline"/>
                <w:lang w:val="en-US" w:eastAsia="zh-CN"/>
              </w:rPr>
              <w:t>5</w:t>
            </w:r>
            <w:r>
              <w:rPr>
                <w:rFonts w:hint="default" w:ascii="Times New Roman" w:hAnsi="Times New Roman" w:eastAsia="仿宋" w:cs="Times New Roman"/>
                <w:sz w:val="24"/>
                <w:szCs w:val="24"/>
                <w:highlight w:val="none"/>
                <w:vertAlign w:val="baseline"/>
              </w:rPr>
              <w:t>分；4.未提供方案的，得0分。</w:t>
            </w:r>
          </w:p>
        </w:tc>
      </w:tr>
      <w:tr w14:paraId="1725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atLeast"/>
        </w:trPr>
        <w:tc>
          <w:tcPr>
            <w:tcW w:w="1194" w:type="dxa"/>
            <w:vMerge w:val="restart"/>
            <w:noWrap w:val="0"/>
            <w:vAlign w:val="top"/>
          </w:tcPr>
          <w:p w14:paraId="5AFEB9A9">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lang w:val="en-US" w:eastAsia="zh-CN"/>
              </w:rPr>
            </w:pPr>
            <w:r>
              <w:rPr>
                <w:rFonts w:hint="default" w:ascii="Times New Roman" w:hAnsi="Times New Roman" w:eastAsia="仿宋" w:cs="Times New Roman"/>
                <w:sz w:val="24"/>
                <w:szCs w:val="24"/>
                <w:highlight w:val="none"/>
                <w:vertAlign w:val="baseline"/>
                <w:lang w:val="en-US" w:eastAsia="zh-CN"/>
              </w:rPr>
              <w:t>商务部分（50分）</w:t>
            </w:r>
          </w:p>
        </w:tc>
        <w:tc>
          <w:tcPr>
            <w:tcW w:w="1260" w:type="dxa"/>
            <w:noWrap w:val="0"/>
            <w:vAlign w:val="top"/>
          </w:tcPr>
          <w:p w14:paraId="46F3A967">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lang w:val="en-US" w:eastAsia="zh-CN"/>
              </w:rPr>
            </w:pPr>
            <w:r>
              <w:rPr>
                <w:rFonts w:hint="default" w:ascii="Times New Roman" w:hAnsi="Times New Roman" w:eastAsia="仿宋" w:cs="Times New Roman"/>
                <w:sz w:val="24"/>
                <w:szCs w:val="24"/>
                <w:highlight w:val="none"/>
                <w:vertAlign w:val="baseline"/>
                <w:lang w:val="en-US" w:eastAsia="zh-CN"/>
              </w:rPr>
              <w:t>项目业绩</w:t>
            </w:r>
          </w:p>
        </w:tc>
        <w:tc>
          <w:tcPr>
            <w:tcW w:w="735" w:type="dxa"/>
            <w:noWrap w:val="0"/>
            <w:vAlign w:val="top"/>
          </w:tcPr>
          <w:p w14:paraId="5D165B02">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lang w:val="en-US" w:eastAsia="zh-CN"/>
              </w:rPr>
            </w:pPr>
            <w:r>
              <w:rPr>
                <w:rFonts w:hint="default" w:ascii="Times New Roman" w:hAnsi="Times New Roman" w:eastAsia="仿宋" w:cs="Times New Roman"/>
                <w:sz w:val="24"/>
                <w:szCs w:val="24"/>
                <w:highlight w:val="none"/>
                <w:vertAlign w:val="baseline"/>
                <w:lang w:val="en-US" w:eastAsia="zh-CN"/>
              </w:rPr>
              <w:t>20分</w:t>
            </w:r>
          </w:p>
        </w:tc>
        <w:tc>
          <w:tcPr>
            <w:tcW w:w="5117" w:type="dxa"/>
            <w:noWrap w:val="0"/>
            <w:vAlign w:val="top"/>
          </w:tcPr>
          <w:p w14:paraId="05275AE8">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sz w:val="24"/>
                <w:szCs w:val="24"/>
                <w:highlight w:val="none"/>
                <w:vertAlign w:val="baseline"/>
              </w:rPr>
              <w:t>投标人自202</w:t>
            </w:r>
            <w:r>
              <w:rPr>
                <w:rFonts w:hint="default" w:ascii="Times New Roman" w:hAnsi="Times New Roman" w:eastAsia="仿宋" w:cs="Times New Roman"/>
                <w:sz w:val="24"/>
                <w:szCs w:val="24"/>
                <w:highlight w:val="none"/>
                <w:vertAlign w:val="baseline"/>
                <w:lang w:val="en-US" w:eastAsia="zh-CN"/>
              </w:rPr>
              <w:t>1</w:t>
            </w:r>
            <w:r>
              <w:rPr>
                <w:rFonts w:hint="default" w:ascii="Times New Roman" w:hAnsi="Times New Roman" w:eastAsia="仿宋" w:cs="Times New Roman"/>
                <w:sz w:val="24"/>
                <w:szCs w:val="24"/>
                <w:highlight w:val="none"/>
                <w:vertAlign w:val="baseline"/>
              </w:rPr>
              <w:t>年1月1日至今（以合同签订时间为准）承接过核与辐射</w:t>
            </w:r>
            <w:r>
              <w:rPr>
                <w:rFonts w:hint="default" w:ascii="Times New Roman" w:hAnsi="Times New Roman" w:eastAsia="仿宋" w:cs="Times New Roman"/>
                <w:sz w:val="24"/>
                <w:szCs w:val="24"/>
                <w:highlight w:val="none"/>
                <w:vertAlign w:val="baseline"/>
                <w:lang w:val="en-US" w:eastAsia="zh-CN"/>
              </w:rPr>
              <w:t>类运维或会务系统运维</w:t>
            </w:r>
            <w:r>
              <w:rPr>
                <w:rFonts w:hint="default" w:ascii="Times New Roman" w:hAnsi="Times New Roman" w:eastAsia="仿宋" w:cs="Times New Roman"/>
                <w:sz w:val="24"/>
                <w:szCs w:val="24"/>
                <w:highlight w:val="none"/>
                <w:vertAlign w:val="baseline"/>
              </w:rPr>
              <w:t>相关项目业绩，</w:t>
            </w:r>
            <w:r>
              <w:rPr>
                <w:rFonts w:hint="default" w:ascii="Times New Roman" w:hAnsi="Times New Roman" w:eastAsia="仿宋" w:cs="Times New Roman"/>
                <w:sz w:val="24"/>
                <w:szCs w:val="24"/>
                <w:highlight w:val="none"/>
              </w:rPr>
              <w:t>项目名称须有</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lang w:val="en-US" w:eastAsia="zh-CN"/>
              </w:rPr>
              <w:t>运维”字样，</w:t>
            </w:r>
            <w:r>
              <w:rPr>
                <w:rFonts w:hint="default" w:ascii="Times New Roman" w:hAnsi="Times New Roman" w:eastAsia="仿宋" w:cs="Times New Roman"/>
                <w:sz w:val="24"/>
                <w:szCs w:val="24"/>
                <w:highlight w:val="none"/>
                <w:vertAlign w:val="baseline"/>
              </w:rPr>
              <w:t>每提供一份业绩得</w:t>
            </w:r>
            <w:r>
              <w:rPr>
                <w:rFonts w:hint="default" w:ascii="Times New Roman" w:hAnsi="Times New Roman" w:eastAsia="仿宋" w:cs="Times New Roman"/>
                <w:sz w:val="24"/>
                <w:szCs w:val="24"/>
                <w:highlight w:val="none"/>
                <w:vertAlign w:val="baseline"/>
                <w:lang w:val="en-US" w:eastAsia="zh-CN"/>
              </w:rPr>
              <w:t>5</w:t>
            </w:r>
            <w:r>
              <w:rPr>
                <w:rFonts w:hint="default" w:ascii="Times New Roman" w:hAnsi="Times New Roman" w:eastAsia="仿宋" w:cs="Times New Roman"/>
                <w:sz w:val="24"/>
                <w:szCs w:val="24"/>
                <w:highlight w:val="none"/>
                <w:vertAlign w:val="baseline"/>
              </w:rPr>
              <w:t>分，最高得</w:t>
            </w:r>
            <w:r>
              <w:rPr>
                <w:rFonts w:hint="default" w:ascii="Times New Roman" w:hAnsi="Times New Roman" w:eastAsia="仿宋" w:cs="Times New Roman"/>
                <w:sz w:val="24"/>
                <w:szCs w:val="24"/>
                <w:highlight w:val="none"/>
                <w:vertAlign w:val="baseline"/>
                <w:lang w:val="en-US" w:eastAsia="zh-CN"/>
              </w:rPr>
              <w:t>20</w:t>
            </w:r>
            <w:r>
              <w:rPr>
                <w:rFonts w:hint="default" w:ascii="Times New Roman" w:hAnsi="Times New Roman" w:eastAsia="仿宋" w:cs="Times New Roman"/>
                <w:sz w:val="24"/>
                <w:szCs w:val="24"/>
                <w:highlight w:val="none"/>
                <w:vertAlign w:val="baseline"/>
              </w:rPr>
              <w:t>分。</w:t>
            </w:r>
          </w:p>
          <w:p w14:paraId="3EF4D93C">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sz w:val="24"/>
                <w:szCs w:val="24"/>
                <w:highlight w:val="none"/>
                <w:vertAlign w:val="baseline"/>
              </w:rPr>
              <w:t>注：提供加盖公章的合同关键信息（含签订合同双方的单位名称、合同项目名称、服务内容与含签订合同双方的落款盖章、签订日期的关键页）复印件作为得分依据。</w:t>
            </w:r>
          </w:p>
        </w:tc>
      </w:tr>
      <w:tr w14:paraId="4E5C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trPr>
        <w:tc>
          <w:tcPr>
            <w:tcW w:w="1194" w:type="dxa"/>
            <w:vMerge w:val="continue"/>
            <w:noWrap w:val="0"/>
            <w:vAlign w:val="top"/>
          </w:tcPr>
          <w:p w14:paraId="7CE28A51">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rPr>
            </w:pPr>
          </w:p>
        </w:tc>
        <w:tc>
          <w:tcPr>
            <w:tcW w:w="1260" w:type="dxa"/>
            <w:noWrap w:val="0"/>
            <w:vAlign w:val="top"/>
          </w:tcPr>
          <w:p w14:paraId="2CEA990C">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lang w:val="en-US" w:eastAsia="zh-CN"/>
              </w:rPr>
            </w:pPr>
            <w:r>
              <w:rPr>
                <w:rFonts w:hint="default" w:ascii="Times New Roman" w:hAnsi="Times New Roman" w:eastAsia="仿宋" w:cs="Times New Roman"/>
                <w:sz w:val="24"/>
                <w:szCs w:val="24"/>
                <w:highlight w:val="none"/>
                <w:vertAlign w:val="baseline"/>
                <w:lang w:val="en-US" w:eastAsia="zh-CN"/>
              </w:rPr>
              <w:t>认证情况</w:t>
            </w:r>
          </w:p>
        </w:tc>
        <w:tc>
          <w:tcPr>
            <w:tcW w:w="735" w:type="dxa"/>
            <w:noWrap w:val="0"/>
            <w:vAlign w:val="top"/>
          </w:tcPr>
          <w:p w14:paraId="0B36FF00">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lang w:val="en-US" w:eastAsia="zh-CN"/>
              </w:rPr>
            </w:pPr>
            <w:r>
              <w:rPr>
                <w:rFonts w:hint="default" w:ascii="Times New Roman" w:hAnsi="Times New Roman" w:eastAsia="仿宋" w:cs="Times New Roman"/>
                <w:sz w:val="24"/>
                <w:szCs w:val="24"/>
                <w:highlight w:val="none"/>
                <w:vertAlign w:val="baseline"/>
                <w:lang w:val="en-US" w:eastAsia="zh-CN"/>
              </w:rPr>
              <w:t>6分</w:t>
            </w:r>
          </w:p>
        </w:tc>
        <w:tc>
          <w:tcPr>
            <w:tcW w:w="5117" w:type="dxa"/>
            <w:noWrap w:val="0"/>
            <w:vAlign w:val="top"/>
          </w:tcPr>
          <w:p w14:paraId="1D732D5B">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kern w:val="2"/>
                <w:sz w:val="24"/>
                <w:szCs w:val="24"/>
                <w:highlight w:val="none"/>
                <w:vertAlign w:val="baseline"/>
                <w:lang w:val="en-US" w:eastAsia="zh-CN" w:bidi="ar-SA"/>
              </w:rPr>
            </w:pPr>
            <w:r>
              <w:rPr>
                <w:rFonts w:hint="default" w:ascii="Times New Roman" w:hAnsi="Times New Roman" w:eastAsia="仿宋" w:cs="Times New Roman"/>
                <w:kern w:val="2"/>
                <w:sz w:val="24"/>
                <w:szCs w:val="24"/>
                <w:highlight w:val="none"/>
                <w:vertAlign w:val="baseline"/>
                <w:lang w:val="en-US" w:eastAsia="zh-CN" w:bidi="ar-SA"/>
              </w:rPr>
              <w:t>供应商具有质量管理体系认证、环境管理体系认证，每个证书3分，满分6分。</w:t>
            </w:r>
          </w:p>
          <w:p w14:paraId="5E38F460">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kern w:val="2"/>
                <w:sz w:val="24"/>
                <w:szCs w:val="24"/>
                <w:highlight w:val="none"/>
                <w:vertAlign w:val="baseline"/>
                <w:lang w:val="en-US" w:eastAsia="zh-CN" w:bidi="ar-SA"/>
              </w:rPr>
            </w:pPr>
            <w:r>
              <w:rPr>
                <w:rFonts w:hint="default" w:ascii="Times New Roman" w:hAnsi="Times New Roman" w:eastAsia="仿宋" w:cs="Times New Roman"/>
                <w:kern w:val="2"/>
                <w:sz w:val="24"/>
                <w:szCs w:val="24"/>
                <w:highlight w:val="none"/>
                <w:vertAlign w:val="baseline"/>
                <w:lang w:val="en-US" w:eastAsia="zh-CN" w:bidi="ar-SA"/>
              </w:rPr>
              <w:t>注：投标文件中提供上述证书复印件及证书信息在官方指定网站查询的网页截图并加盖供应商公章，未按要求提供的不得分。</w:t>
            </w:r>
          </w:p>
        </w:tc>
      </w:tr>
      <w:tr w14:paraId="02F2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Merge w:val="continue"/>
            <w:noWrap w:val="0"/>
            <w:vAlign w:val="top"/>
          </w:tcPr>
          <w:p w14:paraId="66FEA9E4">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rPr>
            </w:pPr>
          </w:p>
        </w:tc>
        <w:tc>
          <w:tcPr>
            <w:tcW w:w="1260" w:type="dxa"/>
            <w:noWrap w:val="0"/>
            <w:vAlign w:val="top"/>
          </w:tcPr>
          <w:p w14:paraId="62060E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00" w:lineRule="exact"/>
              <w:ind w:left="0" w:right="0" w:firstLine="0"/>
              <w:textAlignment w:val="auto"/>
              <w:rPr>
                <w:rFonts w:hint="default" w:ascii="Times New Roman" w:hAnsi="Times New Roman" w:eastAsia="仿宋" w:cs="Times New Roman"/>
                <w:sz w:val="24"/>
                <w:szCs w:val="24"/>
                <w:highlight w:val="none"/>
                <w:vertAlign w:val="baseline"/>
                <w:lang w:val="en-US" w:eastAsia="zh-CN"/>
              </w:rPr>
            </w:pPr>
            <w:r>
              <w:rPr>
                <w:rFonts w:hint="default" w:ascii="Times New Roman" w:hAnsi="Times New Roman" w:eastAsia="仿宋" w:cs="Times New Roman"/>
                <w:kern w:val="2"/>
                <w:sz w:val="24"/>
                <w:szCs w:val="24"/>
                <w:highlight w:val="none"/>
                <w:vertAlign w:val="baseline"/>
                <w:lang w:val="en" w:eastAsia="zh-CN" w:bidi="ar-SA"/>
              </w:rPr>
              <w:t>参与本项目工作人员情况</w:t>
            </w:r>
          </w:p>
        </w:tc>
        <w:tc>
          <w:tcPr>
            <w:tcW w:w="735" w:type="dxa"/>
            <w:noWrap w:val="0"/>
            <w:vAlign w:val="top"/>
          </w:tcPr>
          <w:p w14:paraId="02932EA5">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lang w:val="en-US" w:eastAsia="zh-CN"/>
              </w:rPr>
            </w:pPr>
            <w:r>
              <w:rPr>
                <w:rFonts w:hint="default" w:ascii="Times New Roman" w:hAnsi="Times New Roman" w:eastAsia="仿宋" w:cs="Times New Roman"/>
                <w:sz w:val="24"/>
                <w:szCs w:val="24"/>
                <w:highlight w:val="none"/>
                <w:vertAlign w:val="baseline"/>
                <w:lang w:val="en-US" w:eastAsia="zh-CN"/>
              </w:rPr>
              <w:t>24分</w:t>
            </w:r>
          </w:p>
        </w:tc>
        <w:tc>
          <w:tcPr>
            <w:tcW w:w="5117" w:type="dxa"/>
            <w:noWrap w:val="0"/>
            <w:vAlign w:val="top"/>
          </w:tcPr>
          <w:p w14:paraId="3889CF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00" w:lineRule="exact"/>
              <w:ind w:left="0" w:right="0" w:firstLine="0"/>
              <w:textAlignment w:val="auto"/>
              <w:rPr>
                <w:rFonts w:hint="default" w:ascii="Times New Roman" w:hAnsi="Times New Roman" w:eastAsia="仿宋" w:cs="Times New Roman"/>
                <w:kern w:val="2"/>
                <w:sz w:val="24"/>
                <w:szCs w:val="24"/>
                <w:highlight w:val="none"/>
                <w:vertAlign w:val="baseline"/>
                <w:lang w:val="en-US" w:eastAsia="zh-CN" w:bidi="ar-SA"/>
              </w:rPr>
            </w:pPr>
            <w:r>
              <w:rPr>
                <w:rFonts w:hint="default" w:ascii="Times New Roman" w:hAnsi="Times New Roman" w:eastAsia="仿宋" w:cs="Times New Roman"/>
                <w:kern w:val="2"/>
                <w:sz w:val="24"/>
                <w:szCs w:val="24"/>
                <w:highlight w:val="none"/>
                <w:vertAlign w:val="baseline"/>
                <w:lang w:val="en-US" w:eastAsia="zh-CN" w:bidi="ar-SA"/>
              </w:rPr>
              <w:t>供应商拟派本项目的项目负责人：</w:t>
            </w:r>
          </w:p>
          <w:p w14:paraId="5BA6AF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00" w:lineRule="exact"/>
              <w:ind w:left="0" w:right="0" w:firstLine="0"/>
              <w:textAlignment w:val="auto"/>
              <w:rPr>
                <w:rFonts w:hint="default" w:ascii="Times New Roman" w:hAnsi="Times New Roman" w:eastAsia="仿宋" w:cs="Times New Roman"/>
                <w:kern w:val="2"/>
                <w:sz w:val="24"/>
                <w:szCs w:val="24"/>
                <w:highlight w:val="none"/>
                <w:vertAlign w:val="baseline"/>
                <w:lang w:val="en-US" w:eastAsia="zh-CN" w:bidi="ar-SA"/>
              </w:rPr>
            </w:pPr>
            <w:r>
              <w:rPr>
                <w:rFonts w:hint="default" w:ascii="Times New Roman" w:hAnsi="Times New Roman" w:eastAsia="仿宋" w:cs="Times New Roman"/>
                <w:kern w:val="2"/>
                <w:sz w:val="24"/>
                <w:szCs w:val="24"/>
                <w:highlight w:val="none"/>
                <w:vertAlign w:val="baseline"/>
                <w:lang w:val="en-US" w:eastAsia="zh-CN" w:bidi="ar-SA"/>
              </w:rPr>
              <w:t>①项目负责人具有环境保护、核与辐射、物理类中级（或以上）职称的，得3分；</w:t>
            </w:r>
          </w:p>
          <w:p w14:paraId="0654CD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00" w:lineRule="exact"/>
              <w:ind w:left="0" w:right="0" w:firstLine="0"/>
              <w:textAlignment w:val="auto"/>
              <w:rPr>
                <w:rFonts w:hint="default" w:ascii="Times New Roman" w:hAnsi="Times New Roman" w:eastAsia="仿宋" w:cs="Times New Roman"/>
                <w:kern w:val="2"/>
                <w:sz w:val="24"/>
                <w:szCs w:val="24"/>
                <w:highlight w:val="none"/>
                <w:vertAlign w:val="baseline"/>
                <w:lang w:val="en-US" w:eastAsia="zh-CN" w:bidi="ar-SA"/>
              </w:rPr>
            </w:pPr>
            <w:r>
              <w:rPr>
                <w:rFonts w:hint="default" w:ascii="Times New Roman" w:hAnsi="Times New Roman" w:eastAsia="仿宋" w:cs="Times New Roman"/>
                <w:kern w:val="2"/>
                <w:sz w:val="24"/>
                <w:szCs w:val="24"/>
                <w:highlight w:val="none"/>
                <w:vertAlign w:val="baseline"/>
                <w:lang w:val="en-US" w:eastAsia="zh-CN" w:bidi="ar-SA"/>
              </w:rPr>
              <w:t>②在①基础上，项目负责人具有5年以上核与辐射行业从业经验的，得3分，具有3年以上核与辐射行业从业经验的，得2分，具有1年以上核与辐射行业从业经验的，得1分，其余不得分，最高得3分；</w:t>
            </w:r>
          </w:p>
          <w:p w14:paraId="4C1411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00" w:lineRule="exact"/>
              <w:ind w:left="0" w:right="0" w:firstLine="0"/>
              <w:textAlignment w:val="auto"/>
              <w:rPr>
                <w:rFonts w:hint="default" w:ascii="Times New Roman" w:hAnsi="Times New Roman" w:eastAsia="仿宋" w:cs="Times New Roman"/>
                <w:sz w:val="24"/>
                <w:szCs w:val="24"/>
                <w:highlight w:val="none"/>
                <w:vertAlign w:val="baseline"/>
                <w:lang w:val="en-US" w:eastAsia="zh-CN"/>
              </w:rPr>
            </w:pPr>
            <w:r>
              <w:rPr>
                <w:rFonts w:hint="default" w:ascii="Times New Roman" w:hAnsi="Times New Roman" w:eastAsia="仿宋" w:cs="Times New Roman"/>
                <w:sz w:val="24"/>
                <w:szCs w:val="24"/>
                <w:highlight w:val="none"/>
                <w:vertAlign w:val="baseline"/>
                <w:lang w:val="en-US" w:eastAsia="zh-CN"/>
              </w:rPr>
              <w:t>③项目团队人员具有环境保护、核与辐射、物理类初级（或以上）职称的，每提供1个得1分，最高得6分。</w:t>
            </w:r>
          </w:p>
          <w:p w14:paraId="1EE24C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00" w:lineRule="exact"/>
              <w:ind w:left="0" w:right="0" w:firstLine="0"/>
              <w:textAlignment w:val="auto"/>
              <w:rPr>
                <w:rFonts w:hint="default" w:ascii="Times New Roman" w:hAnsi="Times New Roman" w:eastAsia="仿宋" w:cs="Times New Roman"/>
                <w:sz w:val="24"/>
                <w:szCs w:val="24"/>
                <w:highlight w:val="none"/>
                <w:vertAlign w:val="baseline"/>
                <w:lang w:val="en-US" w:eastAsia="zh-CN"/>
              </w:rPr>
            </w:pPr>
            <w:r>
              <w:rPr>
                <w:rFonts w:hint="default" w:ascii="Times New Roman" w:hAnsi="Times New Roman" w:eastAsia="仿宋" w:cs="Times New Roman"/>
                <w:sz w:val="24"/>
                <w:szCs w:val="24"/>
                <w:highlight w:val="none"/>
                <w:vertAlign w:val="baseline"/>
                <w:lang w:val="en-US" w:eastAsia="zh-CN"/>
              </w:rPr>
              <w:t>④在③基础上，项目团队成员具有省级（含）以上生态环境主管部门或下属环境辐射监测机构颁发的辐射环境监测人员技术考核合格证（ X-γ辐射剂量率、α、β表面污染、中子剂量当量率），每提供1个得1分，最高得6分；具有生态环境部核与辐射安全中心颁发的核安全应急与安保（核工程领域）证书，每有1个得1分，最高得6分。本小项最高得12分。</w:t>
            </w:r>
          </w:p>
          <w:p w14:paraId="10E713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00" w:lineRule="exact"/>
              <w:ind w:left="0" w:right="0" w:firstLine="0"/>
              <w:textAlignment w:val="auto"/>
              <w:rPr>
                <w:rFonts w:hint="default" w:ascii="Times New Roman" w:hAnsi="Times New Roman" w:eastAsia="仿宋" w:cs="Times New Roman"/>
                <w:kern w:val="2"/>
                <w:sz w:val="24"/>
                <w:szCs w:val="24"/>
                <w:highlight w:val="none"/>
                <w:vertAlign w:val="baseline"/>
                <w:lang w:val="en-US" w:eastAsia="zh-CN" w:bidi="ar-SA"/>
              </w:rPr>
            </w:pPr>
            <w:r>
              <w:rPr>
                <w:rFonts w:hint="default" w:ascii="Times New Roman" w:hAnsi="Times New Roman" w:eastAsia="仿宋" w:cs="Times New Roman"/>
                <w:kern w:val="2"/>
                <w:sz w:val="24"/>
                <w:szCs w:val="24"/>
                <w:highlight w:val="none"/>
                <w:vertAlign w:val="baseline"/>
                <w:lang w:val="en-US" w:eastAsia="zh-CN" w:bidi="ar-SA"/>
              </w:rPr>
              <w:t>本项最高得24分。</w:t>
            </w:r>
          </w:p>
          <w:p w14:paraId="5A9804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00" w:lineRule="exact"/>
              <w:ind w:left="0" w:right="0" w:firstLine="0"/>
              <w:textAlignment w:val="auto"/>
              <w:rPr>
                <w:rFonts w:hint="default" w:ascii="Times New Roman" w:hAnsi="Times New Roman" w:eastAsia="仿宋" w:cs="Times New Roman"/>
                <w:kern w:val="2"/>
                <w:sz w:val="24"/>
                <w:szCs w:val="24"/>
                <w:highlight w:val="none"/>
                <w:vertAlign w:val="baseline"/>
                <w:lang w:val="en-US" w:eastAsia="zh-CN" w:bidi="ar-SA"/>
              </w:rPr>
            </w:pPr>
            <w:r>
              <w:rPr>
                <w:rFonts w:hint="default" w:ascii="Times New Roman" w:hAnsi="Times New Roman" w:eastAsia="仿宋" w:cs="Times New Roman"/>
                <w:kern w:val="2"/>
                <w:sz w:val="24"/>
                <w:szCs w:val="24"/>
                <w:highlight w:val="none"/>
                <w:vertAlign w:val="baseline"/>
                <w:lang w:val="en-US" w:eastAsia="zh-CN" w:bidi="ar-SA"/>
              </w:rPr>
              <w:t>注：</w:t>
            </w:r>
          </w:p>
          <w:p w14:paraId="76B99F7E">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kern w:val="2"/>
                <w:sz w:val="24"/>
                <w:szCs w:val="24"/>
                <w:highlight w:val="none"/>
                <w:vertAlign w:val="baseline"/>
                <w:lang w:val="en-US" w:eastAsia="zh-CN" w:bidi="ar-SA"/>
              </w:rPr>
            </w:pPr>
            <w:r>
              <w:rPr>
                <w:rFonts w:hint="default" w:ascii="Times New Roman" w:hAnsi="Times New Roman" w:eastAsia="仿宋" w:cs="Times New Roman"/>
                <w:kern w:val="2"/>
                <w:sz w:val="24"/>
                <w:szCs w:val="24"/>
                <w:highlight w:val="none"/>
                <w:vertAlign w:val="baseline"/>
                <w:lang w:val="en-US" w:eastAsia="zh-CN" w:bidi="ar-SA"/>
              </w:rPr>
              <w:t>说明：须提供人员相关证书及投标截止时间前六个月内任意一个月的社会保险缴交证明，没有提供不计分。</w:t>
            </w:r>
          </w:p>
        </w:tc>
      </w:tr>
      <w:tr w14:paraId="5508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noWrap w:val="0"/>
            <w:vAlign w:val="top"/>
          </w:tcPr>
          <w:p w14:paraId="08927025">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lang w:val="en-US" w:eastAsia="zh-CN"/>
              </w:rPr>
            </w:pPr>
            <w:r>
              <w:rPr>
                <w:rFonts w:hint="default" w:ascii="Times New Roman" w:hAnsi="Times New Roman" w:eastAsia="仿宋" w:cs="Times New Roman"/>
                <w:sz w:val="24"/>
                <w:szCs w:val="24"/>
                <w:highlight w:val="none"/>
                <w:vertAlign w:val="baseline"/>
                <w:lang w:val="en-US" w:eastAsia="zh-CN"/>
              </w:rPr>
              <w:t>报价得分（15分）</w:t>
            </w:r>
          </w:p>
        </w:tc>
        <w:tc>
          <w:tcPr>
            <w:tcW w:w="1260" w:type="dxa"/>
            <w:noWrap w:val="0"/>
            <w:vAlign w:val="top"/>
          </w:tcPr>
          <w:p w14:paraId="26747D3F">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lang w:val="en-US" w:eastAsia="zh-CN"/>
              </w:rPr>
            </w:pPr>
            <w:r>
              <w:rPr>
                <w:rFonts w:hint="default" w:ascii="Times New Roman" w:hAnsi="Times New Roman" w:eastAsia="仿宋" w:cs="Times New Roman"/>
                <w:sz w:val="24"/>
                <w:szCs w:val="24"/>
                <w:highlight w:val="none"/>
                <w:vertAlign w:val="baseline"/>
                <w:lang w:val="en-US" w:eastAsia="zh-CN"/>
              </w:rPr>
              <w:t>投标报价得分</w:t>
            </w:r>
          </w:p>
        </w:tc>
        <w:tc>
          <w:tcPr>
            <w:tcW w:w="735" w:type="dxa"/>
            <w:noWrap w:val="0"/>
            <w:vAlign w:val="top"/>
          </w:tcPr>
          <w:p w14:paraId="4092F7DD">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lang w:val="en-US" w:eastAsia="zh-CN"/>
              </w:rPr>
            </w:pPr>
            <w:r>
              <w:rPr>
                <w:rFonts w:hint="default" w:ascii="Times New Roman" w:hAnsi="Times New Roman" w:eastAsia="仿宋" w:cs="Times New Roman"/>
                <w:sz w:val="24"/>
                <w:szCs w:val="24"/>
                <w:highlight w:val="none"/>
                <w:vertAlign w:val="baseline"/>
                <w:lang w:val="en-US" w:eastAsia="zh-CN"/>
              </w:rPr>
              <w:t>15分</w:t>
            </w:r>
          </w:p>
        </w:tc>
        <w:tc>
          <w:tcPr>
            <w:tcW w:w="5117" w:type="dxa"/>
            <w:noWrap w:val="0"/>
            <w:vAlign w:val="top"/>
          </w:tcPr>
          <w:p w14:paraId="13ED086D">
            <w:pPr>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eastAsia="仿宋" w:cs="Times New Roman"/>
                <w:sz w:val="24"/>
                <w:szCs w:val="24"/>
                <w:highlight w:val="none"/>
                <w:vertAlign w:val="baseline"/>
              </w:rPr>
            </w:pPr>
            <w:r>
              <w:rPr>
                <w:rFonts w:hint="default" w:ascii="Times New Roman" w:hAnsi="Times New Roman" w:eastAsia="仿宋" w:cs="Times New Roman"/>
                <w:sz w:val="24"/>
                <w:szCs w:val="24"/>
                <w:highlight w:val="none"/>
                <w:vertAlign w:val="baseline"/>
              </w:rPr>
              <w:t>取满足采购文件要求且价格扣除后的最低投标报价作为评标基准价，其价格分为满分。其他投标供应商的价格分统一按照下列公式计算：价格扣除后的投标报价得分=（评标基准价/价格扣除后的投标报价）×15（对符合规定的小型和微型企业（监狱企业、残疾人福利单位视同小型、微型企业）报价给予10%的价格扣除。）</w:t>
            </w:r>
          </w:p>
        </w:tc>
      </w:tr>
    </w:tbl>
    <w:p w14:paraId="714776B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_GBK">
    <w:altName w:val="宋体"/>
    <w:panose1 w:val="03000509000000000000"/>
    <w:charset w:val="86"/>
    <w:family w:val="auto"/>
    <w:pitch w:val="default"/>
    <w:sig w:usb0="00000000" w:usb1="0000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7738E0"/>
    <w:rsid w:val="087738E0"/>
    <w:rsid w:val="5B577B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2026-04-07T08:05:00Z</dcterms:created>
  <dc:creator>李耀明</dc:creator>
  <cp:lastModifiedBy>李耀明</cp:lastModifiedBy>
  <dcterms:modified xsi:type="dcterms:W3CDTF">2026-04-07T08:06:44Z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3DE148E0CA2E4C95B815F1D786A3D797_11</vt:lpwstr>
  </property>
  <property fmtid="{D5CDD505-2E9C-101B-9397-08002B2CF9AE}" pid="4" name="KSOTemplateDocerSaveRecord">
    <vt:lpwstr>eyJoZGlkIjoiMDM3NGU3YmU1ODYyYjdmN2E3ZWRhMmM0MjY3M2IwZTIiLCJ1c2VySWQiOiIzNDIwMDI0OTEifQ==</vt:lpwstr>
  </property>
</Properties>
</file>