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江门市市场监督管理局</w:t>
      </w:r>
      <w:r>
        <w:rPr>
          <w:rFonts w:hint="eastAsia" w:eastAsia="方正小标宋简体"/>
          <w:bCs/>
          <w:sz w:val="44"/>
          <w:szCs w:val="44"/>
          <w:lang w:val="en-US" w:eastAsia="zh-CN"/>
        </w:rPr>
        <w:t>2026年</w:t>
      </w:r>
      <w:r>
        <w:rPr>
          <w:rFonts w:hint="eastAsia" w:eastAsia="方正小标宋简体"/>
          <w:bCs/>
          <w:sz w:val="44"/>
          <w:szCs w:val="44"/>
        </w:rPr>
        <w:t>广告监测</w:t>
      </w:r>
      <w:r>
        <w:rPr>
          <w:rFonts w:eastAsia="方正小标宋简体"/>
          <w:bCs/>
          <w:sz w:val="44"/>
          <w:szCs w:val="44"/>
        </w:rPr>
        <w:t>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8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55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项目人员配置</w:t>
            </w:r>
          </w:p>
        </w:tc>
        <w:tc>
          <w:tcPr>
            <w:tcW w:w="1199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12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ascii="宋体" w:hAnsi="宋体" w:eastAsia="宋体" w:cs="Times New Roman"/>
                <w:kern w:val="0"/>
              </w:rPr>
            </w:pPr>
            <w:r>
              <w:rPr>
                <w:rFonts w:hint="default" w:ascii="宋体" w:hAnsi="宋体" w:eastAsia="宋体" w:cs="Times New Roman"/>
                <w:kern w:val="0"/>
                <w:lang w:val="en-US" w:eastAsia="zh-CN"/>
              </w:rPr>
              <w:t>（1）</w:t>
            </w:r>
            <w:r>
              <w:rPr>
                <w:rFonts w:ascii="宋体" w:hAnsi="宋体" w:eastAsia="宋体" w:cs="Times New Roman"/>
                <w:kern w:val="0"/>
              </w:rPr>
              <w:t>根据供应商对项目</w:t>
            </w:r>
            <w:r>
              <w:rPr>
                <w:rFonts w:hint="default" w:ascii="宋体" w:hAnsi="宋体" w:eastAsia="宋体" w:cs="Times New Roman"/>
                <w:kern w:val="0"/>
                <w:lang w:eastAsia="zh-CN"/>
              </w:rPr>
              <w:t>投入人员人数、工作年限和经验</w:t>
            </w:r>
            <w:r>
              <w:rPr>
                <w:rFonts w:ascii="宋体" w:hAnsi="宋体" w:eastAsia="宋体" w:cs="Times New Roman"/>
                <w:kern w:val="0"/>
              </w:rPr>
              <w:t>进行综合比较。优</w:t>
            </w:r>
            <w:r>
              <w:rPr>
                <w:rFonts w:hint="default" w:ascii="宋体" w:hAnsi="宋体" w:eastAsia="宋体" w:cs="Times New Roman"/>
                <w:kern w:val="0"/>
                <w:lang w:val="en-US" w:eastAsia="zh-CN"/>
              </w:rPr>
              <w:t>8</w:t>
            </w:r>
            <w:r>
              <w:rPr>
                <w:rFonts w:ascii="宋体" w:hAnsi="宋体" w:eastAsia="宋体" w:cs="Times New Roman"/>
                <w:kern w:val="0"/>
              </w:rPr>
              <w:t>分，良</w:t>
            </w:r>
            <w:r>
              <w:rPr>
                <w:rFonts w:hint="default" w:ascii="宋体" w:hAnsi="宋体" w:eastAsia="宋体" w:cs="Times New Roman"/>
                <w:kern w:val="0"/>
                <w:lang w:val="en-US" w:eastAsia="zh-CN"/>
              </w:rPr>
              <w:t>5</w:t>
            </w:r>
            <w:r>
              <w:rPr>
                <w:rFonts w:ascii="宋体" w:hAnsi="宋体" w:eastAsia="宋体" w:cs="Times New Roman"/>
                <w:kern w:val="0"/>
              </w:rPr>
              <w:t>分，一般</w:t>
            </w:r>
            <w:r>
              <w:rPr>
                <w:rFonts w:hint="default" w:ascii="宋体" w:hAnsi="宋体" w:eastAsia="宋体" w:cs="Times New Roman"/>
                <w:kern w:val="0"/>
                <w:lang w:val="en-US" w:eastAsia="zh-CN"/>
              </w:rPr>
              <w:t>3</w:t>
            </w:r>
            <w:r>
              <w:rPr>
                <w:rFonts w:ascii="宋体" w:hAnsi="宋体" w:eastAsia="宋体" w:cs="Times New Roman"/>
                <w:kern w:val="0"/>
              </w:rPr>
              <w:t>分</w:t>
            </w:r>
            <w:r>
              <w:rPr>
                <w:rFonts w:hint="eastAsia" w:ascii="宋体" w:hAnsi="宋体" w:eastAsia="宋体" w:cs="Times New Roman"/>
                <w:kern w:val="0"/>
                <w:lang w:eastAsia="zh-CN"/>
              </w:rPr>
              <w:t>，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未提供不得分</w:t>
            </w:r>
            <w:r>
              <w:rPr>
                <w:rFonts w:ascii="宋体" w:hAnsi="宋体" w:eastAsia="宋体" w:cs="Times New Roman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061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99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）项目团队成员拥有广告审查员证书</w:t>
            </w: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软件设计师证书</w:t>
            </w: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等相关证书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每提供一个得4分，最高12分，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未提供不得分。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12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/>
                <w:lang w:eastAsia="zh-CN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12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技术方案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/>
                <w:kern w:val="0"/>
                <w:lang w:val="en-US"/>
              </w:rPr>
            </w:pP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</w:rPr>
              <w:t>总体监测设计方案描述详细，符合国家规范，完全满足采购文件要求，从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建立广告监测监管数据标准、数据汇总统计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</w:rPr>
              <w:t>常规性广告监测、监测数据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深层次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</w:rPr>
              <w:t>分析、采集设备部署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等几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</w:rPr>
              <w:t>个方面进行设计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eastAsia="zh-CN"/>
              </w:rPr>
              <w:t>，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</w:rPr>
              <w:t>设计方案成熟，配置合理，达到先进、实用、可扩展性的要求，按</w:t>
            </w: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eastAsia="zh-CN"/>
              </w:rPr>
              <w:t>方案完善度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</w:rPr>
              <w:t>进行评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分。优15分，良12分，一般8分</w:t>
            </w: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default" w:ascii="宋体" w:hAnsi="宋体" w:eastAsia="宋体" w:cs="Times New Roman"/>
                <w:bCs w:val="0"/>
                <w:spacing w:val="0"/>
                <w:kern w:val="0"/>
                <w:sz w:val="21"/>
                <w:szCs w:val="21"/>
                <w:lang w:val="en-US" w:eastAsia="zh-CN"/>
              </w:rPr>
              <w:t>未提供不得分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平台功能</w:t>
            </w:r>
          </w:p>
        </w:tc>
        <w:tc>
          <w:tcPr>
            <w:tcW w:w="1199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16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kern w:val="0"/>
                <w:lang w:val="en-US" w:eastAsia="zh-CN"/>
              </w:rPr>
              <w:t>（1）平台功能完善，具有媒体管理、信息管理、监测管理、审核管理、电子取证、数据分析、系统管理等模块，能够提供广告监测数据初审和复审、数据查询、统计分析、广告监测报告、广告监测通报、违法广告样本下载、涉嫌违法广告线索分派、证据流转、处理结果反馈等功能。根据平台功能设计合理，符合用户需求进行综合评分</w:t>
            </w:r>
            <w:r>
              <w:rPr>
                <w:rFonts w:hint="default" w:ascii="宋体" w:hAnsi="宋体" w:eastAsia="宋体" w:cs="Times New Roman"/>
                <w:kern w:val="0"/>
                <w:lang w:eastAsia="zh-CN"/>
              </w:rPr>
              <w:t>。优</w:t>
            </w:r>
            <w:r>
              <w:rPr>
                <w:rFonts w:hint="default" w:ascii="宋体" w:hAnsi="宋体" w:eastAsia="宋体" w:cs="Times New Roman"/>
                <w:kern w:val="0"/>
                <w:lang w:val="en-US" w:eastAsia="zh-CN"/>
              </w:rPr>
              <w:t>14分，良9分，一般5分</w:t>
            </w:r>
            <w:r>
              <w:rPr>
                <w:rFonts w:hint="eastAsia" w:ascii="宋体" w:hAnsi="宋体" w:eastAsia="宋体" w:cs="Times New Roman"/>
                <w:kern w:val="0"/>
                <w:lang w:val="en-US" w:eastAsia="zh-CN"/>
              </w:rPr>
              <w:t>，</w:t>
            </w:r>
            <w:r>
              <w:rPr>
                <w:rFonts w:hint="default" w:ascii="宋体" w:hAnsi="宋体" w:eastAsia="宋体" w:cs="Times New Roman"/>
                <w:bCs w:val="0"/>
                <w:spacing w:val="0"/>
                <w:kern w:val="0"/>
                <w:sz w:val="21"/>
                <w:szCs w:val="21"/>
                <w:lang w:val="en-US" w:eastAsia="zh-CN"/>
              </w:rPr>
              <w:t>未提供不得分</w:t>
            </w:r>
            <w:r>
              <w:rPr>
                <w:rFonts w:hint="eastAsia" w:ascii="宋体" w:hAnsi="宋体" w:eastAsia="宋体" w:cs="Times New Roman"/>
                <w:bCs w:val="0"/>
                <w:spacing w:val="0"/>
                <w:kern w:val="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1326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left"/>
            </w:pPr>
          </w:p>
        </w:tc>
        <w:tc>
          <w:tcPr>
            <w:tcW w:w="2061" w:type="dxa"/>
            <w:vMerge w:val="continue"/>
            <w:noWrap w:val="0"/>
            <w:vAlign w:val="center"/>
          </w:tcPr>
          <w:p>
            <w:pPr>
              <w:widowControl/>
              <w:jc w:val="left"/>
            </w:pPr>
          </w:p>
        </w:tc>
        <w:tc>
          <w:tcPr>
            <w:tcW w:w="1199" w:type="dxa"/>
            <w:vMerge w:val="continue"/>
            <w:noWrap w:val="0"/>
            <w:vAlign w:val="center"/>
          </w:tcPr>
          <w:p>
            <w:pPr>
              <w:widowControl/>
              <w:jc w:val="left"/>
            </w:pP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Cs w:val="0"/>
                <w:spacing w:val="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宋体" w:hAnsi="宋体" w:eastAsia="宋体" w:cs="Times New Roman"/>
                <w:bCs w:val="0"/>
                <w:spacing w:val="0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宋体" w:hAnsi="宋体" w:eastAsia="宋体" w:cs="Times New Roman"/>
                <w:bCs w:val="0"/>
                <w:spacing w:val="0"/>
                <w:kern w:val="0"/>
                <w:sz w:val="21"/>
                <w:szCs w:val="21"/>
                <w:lang w:val="en-US" w:eastAsia="zh-CN"/>
              </w:rPr>
              <w:t>2）</w:t>
            </w:r>
            <w:r>
              <w:rPr>
                <w:rFonts w:hint="default" w:ascii="宋体" w:hAnsi="宋体" w:eastAsia="宋体" w:cs="Times New Roman"/>
                <w:bCs w:val="0"/>
                <w:spacing w:val="0"/>
                <w:kern w:val="0"/>
                <w:sz w:val="21"/>
                <w:szCs w:val="21"/>
              </w:rPr>
              <w:t>供应商提供的广告监测系统具有电子证据功能，能够出具具有法律效力的司法鉴定报告，须提供电子数据存证函、司法鉴定意见书、检验检测机构资质认定证书</w:t>
            </w:r>
            <w:r>
              <w:rPr>
                <w:rFonts w:hint="eastAsia" w:ascii="宋体" w:hAnsi="宋体" w:eastAsia="宋体" w:cs="Times New Roman"/>
                <w:bCs w:val="0"/>
                <w:spacing w:val="0"/>
                <w:kern w:val="0"/>
                <w:sz w:val="21"/>
                <w:szCs w:val="21"/>
                <w:lang w:eastAsia="zh-CN"/>
              </w:rPr>
              <w:t>或</w:t>
            </w:r>
            <w:r>
              <w:rPr>
                <w:rFonts w:hint="default" w:ascii="宋体" w:hAnsi="宋体" w:eastAsia="宋体" w:cs="Times New Roman"/>
                <w:bCs w:val="0"/>
                <w:spacing w:val="0"/>
                <w:kern w:val="0"/>
                <w:sz w:val="21"/>
                <w:szCs w:val="21"/>
              </w:rPr>
              <w:t>司法鉴定许可证等证明材料</w:t>
            </w:r>
            <w:r>
              <w:rPr>
                <w:rFonts w:hint="default" w:ascii="宋体" w:hAnsi="宋体" w:eastAsia="宋体" w:cs="Times New Roman"/>
                <w:bCs w:val="0"/>
                <w:spacing w:val="0"/>
                <w:kern w:val="0"/>
                <w:sz w:val="21"/>
                <w:szCs w:val="21"/>
                <w:lang w:eastAsia="zh-CN"/>
              </w:rPr>
              <w:t>，得</w:t>
            </w:r>
            <w:r>
              <w:rPr>
                <w:rFonts w:hint="default" w:ascii="宋体" w:hAnsi="宋体" w:eastAsia="宋体" w:cs="Times New Roman"/>
                <w:bCs w:val="0"/>
                <w:spacing w:val="0"/>
                <w:kern w:val="0"/>
                <w:sz w:val="21"/>
                <w:szCs w:val="21"/>
                <w:lang w:val="en-US" w:eastAsia="zh-CN"/>
              </w:rPr>
              <w:t>2分，未提供不得分。</w:t>
            </w:r>
          </w:p>
        </w:tc>
        <w:tc>
          <w:tcPr>
            <w:tcW w:w="1326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Cs w:val="0"/>
                <w:spacing w:val="0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35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9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</w:rPr>
              <w:t>9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hint="default" w:eastAsia="宋体" w:cs="Times New Roman"/>
              </w:rPr>
              <w:t>根据供应商对本项目的服务承诺，保证措施等进行综合比较</w:t>
            </w:r>
            <w:r>
              <w:rPr>
                <w:rFonts w:hint="eastAsia" w:eastAsia="宋体" w:cs="Times New Roman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保密措施完善，数据免费维护期合理，保障服务规章制度合理。优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分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，良5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分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，一般3分</w:t>
            </w:r>
            <w:r>
              <w:rPr>
                <w:rFonts w:hint="eastAsia" w:eastAsia="宋体" w:cs="Times New Roman"/>
                <w:sz w:val="21"/>
                <w:szCs w:val="21"/>
                <w:lang w:val="en-US" w:eastAsia="zh-CN"/>
              </w:rPr>
              <w:t>，</w:t>
            </w:r>
            <w:r>
              <w:rPr>
                <w:rFonts w:ascii="Times New Roman" w:hAnsi="Times New Roman" w:eastAsia="宋体" w:cs="Times New Roman"/>
              </w:rPr>
              <w:t>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/>
                <w:kern w:val="0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</w:rPr>
              <w:t>根据供应商近三年内同类项目的业绩经验、合作成效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，</w:t>
            </w:r>
            <w:r>
              <w:rPr>
                <w:rFonts w:ascii="Times New Roman" w:hAnsi="Times New Roman" w:eastAsia="宋体" w:cs="Times New Roman"/>
              </w:rPr>
              <w:t>进行综合比较打分</w:t>
            </w:r>
            <w:r>
              <w:rPr>
                <w:rFonts w:hint="eastAsia" w:eastAsia="宋体" w:cs="Times New Roman"/>
                <w:lang w:eastAsia="zh-CN"/>
              </w:rPr>
              <w:t>，</w:t>
            </w:r>
            <w:r>
              <w:rPr>
                <w:rFonts w:ascii="Times New Roman" w:hAnsi="Times New Roman" w:eastAsia="宋体" w:cs="Times New Roman"/>
              </w:rPr>
              <w:t>优15分，良10分，一般5分。须提供业绩列表及合同或中标通知书或成交通知书等复印件，不提供不得分。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p/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3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00EC5CCF"/>
    <w:rsid w:val="000201AB"/>
    <w:rsid w:val="000B7696"/>
    <w:rsid w:val="001B6405"/>
    <w:rsid w:val="00291DF8"/>
    <w:rsid w:val="002D0432"/>
    <w:rsid w:val="00342416"/>
    <w:rsid w:val="005B6FC3"/>
    <w:rsid w:val="006C6C78"/>
    <w:rsid w:val="007A71AF"/>
    <w:rsid w:val="00961FBC"/>
    <w:rsid w:val="009F566A"/>
    <w:rsid w:val="00A24B3D"/>
    <w:rsid w:val="00C860E7"/>
    <w:rsid w:val="00CC7C71"/>
    <w:rsid w:val="00CD4A38"/>
    <w:rsid w:val="00EC5CCF"/>
    <w:rsid w:val="00F85E4E"/>
    <w:rsid w:val="17ED598D"/>
    <w:rsid w:val="2F9F5DA2"/>
    <w:rsid w:val="2FFD654B"/>
    <w:rsid w:val="5C5D1CEB"/>
    <w:rsid w:val="5EBC7B6A"/>
    <w:rsid w:val="6B7AF895"/>
    <w:rsid w:val="6D0C3426"/>
    <w:rsid w:val="74B36585"/>
    <w:rsid w:val="775FFA0F"/>
    <w:rsid w:val="7BEE6F35"/>
    <w:rsid w:val="7FBF64A9"/>
    <w:rsid w:val="9ADF8709"/>
    <w:rsid w:val="B7F7C4E6"/>
    <w:rsid w:val="BF38A283"/>
    <w:rsid w:val="F6FFA060"/>
    <w:rsid w:val="FBEFBB94"/>
    <w:rsid w:val="FEFD9C08"/>
    <w:rsid w:val="FF6EBA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"/>
    <w:basedOn w:val="4"/>
    <w:qFormat/>
    <w:uiPriority w:val="0"/>
    <w:pPr>
      <w:spacing w:line="560" w:lineRule="exact"/>
      <w:ind w:firstLine="640" w:firstLineChars="200"/>
    </w:pPr>
  </w:style>
  <w:style w:type="character" w:customStyle="1" w:styleId="10">
    <w:name w:val="页脚 Char"/>
    <w:link w:val="5"/>
    <w:qFormat/>
    <w:uiPriority w:val="99"/>
    <w:rPr>
      <w:sz w:val="18"/>
      <w:szCs w:val="18"/>
    </w:rPr>
  </w:style>
  <w:style w:type="character" w:customStyle="1" w:styleId="11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2</Pages>
  <Words>1183</Words>
  <Characters>1203</Characters>
  <Lines>6</Lines>
  <Paragraphs>1</Paragraphs>
  <TotalTime>15</TotalTime>
  <ScaleCrop>false</ScaleCrop>
  <LinksUpToDate>false</LinksUpToDate>
  <CharactersWithSpaces>1206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2023-02-19T17:47:00Z</dcterms:created>
  <dc:creator>张海盈</dc:creator>
  <cp:lastModifiedBy>greatwall</cp:lastModifiedBy>
  <cp:lastPrinted>2026-03-27T01:01:00Z</cp:lastPrinted>
  <dcterms:modified xsi:type="dcterms:W3CDTF">2026-04-01T12:08:56Z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eyJoZGlkIjoiOWQwNmY2ODM3YTNiMjkxOTQyOGUxNTRhMWQyMzg1Y2IiLCJ1c2VySWQiOiI2Nzk4Mzg4MTYifQ==</vt:lpwstr>
  </property>
  <property fmtid="{D5CDD505-2E9C-101B-9397-08002B2CF9AE}" pid="4" name="ICV">
    <vt:lpwstr>D20A2BDE72544854AFFBB9EDFB0440A5_12</vt:lpwstr>
  </property>
</Properties>
</file>