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DB8EF">
      <w:pPr>
        <w:rPr>
          <w:rFonts w:hint="default" w:ascii="Times New Roman" w:hAnsi="Times New Roman" w:eastAsia="方正黑体_GBK" w:cs="Times New Roman"/>
          <w:sz w:val="30"/>
          <w:szCs w:val="30"/>
          <w:lang w:val="en-US" w:eastAsia="zh-CN"/>
        </w:rPr>
      </w:pPr>
      <w:r>
        <w:rPr>
          <w:rFonts w:hint="default" w:ascii="Times New Roman" w:hAnsi="Times New Roman" w:eastAsia="方正黑体_GBK" w:cs="Times New Roman"/>
          <w:sz w:val="30"/>
          <w:szCs w:val="30"/>
        </w:rPr>
        <w:t>附件</w:t>
      </w:r>
      <w:r>
        <w:rPr>
          <w:rFonts w:hint="default" w:ascii="Times New Roman" w:hAnsi="Times New Roman" w:eastAsia="方正黑体_GBK" w:cs="Times New Roman"/>
          <w:sz w:val="30"/>
          <w:szCs w:val="30"/>
          <w:lang w:val="en-US" w:eastAsia="zh-CN"/>
        </w:rPr>
        <w:t>2</w:t>
      </w:r>
    </w:p>
    <w:p w14:paraId="464E352A">
      <w:pPr>
        <w:pStyle w:val="4"/>
        <w:numPr>
          <w:ilvl w:val="255"/>
          <w:numId w:val="0"/>
        </w:numPr>
        <w:spacing w:line="600" w:lineRule="exact"/>
        <w:jc w:val="center"/>
        <w:outlineLvl w:val="1"/>
        <w:rPr>
          <w:rFonts w:hint="default" w:ascii="Times New Roman" w:hAnsi="Times New Roman" w:eastAsia="方正大标宋_GBK" w:cs="Times New Roman"/>
          <w:b w:val="0"/>
          <w:bCs/>
          <w:color w:val="000000"/>
          <w:kern w:val="0"/>
          <w:sz w:val="42"/>
          <w:szCs w:val="42"/>
          <w:highlight w:val="none"/>
          <w:lang w:val="en-US" w:eastAsia="zh-CN" w:bidi="ar"/>
        </w:rPr>
      </w:pPr>
      <w:bookmarkStart w:id="0" w:name="_GoBack"/>
      <w:r>
        <w:rPr>
          <w:rFonts w:hint="default" w:ascii="Times New Roman" w:hAnsi="Times New Roman" w:eastAsia="方正大标宋_GBK" w:cs="Times New Roman"/>
          <w:b w:val="0"/>
          <w:bCs/>
          <w:color w:val="000000"/>
          <w:kern w:val="0"/>
          <w:sz w:val="42"/>
          <w:szCs w:val="42"/>
          <w:highlight w:val="none"/>
          <w:lang w:bidi="ar"/>
        </w:rPr>
        <w:t>评分</w:t>
      </w:r>
      <w:r>
        <w:rPr>
          <w:rFonts w:hint="default" w:ascii="Times New Roman" w:hAnsi="Times New Roman" w:eastAsia="方正大标宋_GBK" w:cs="Times New Roman"/>
          <w:b w:val="0"/>
          <w:bCs/>
          <w:color w:val="000000"/>
          <w:kern w:val="0"/>
          <w:sz w:val="42"/>
          <w:szCs w:val="42"/>
          <w:highlight w:val="none"/>
          <w:lang w:eastAsia="zh-CN" w:bidi="ar"/>
        </w:rPr>
        <w:t>表</w:t>
      </w:r>
      <w:bookmarkEnd w:id="0"/>
    </w:p>
    <w:p w14:paraId="17029D71">
      <w:pPr>
        <w:pStyle w:val="4"/>
        <w:numPr>
          <w:ilvl w:val="255"/>
          <w:numId w:val="0"/>
        </w:numPr>
        <w:spacing w:line="480" w:lineRule="exact"/>
        <w:ind w:firstLine="600" w:firstLineChars="200"/>
        <w:jc w:val="left"/>
        <w:outlineLvl w:val="1"/>
        <w:rPr>
          <w:rFonts w:hint="default" w:ascii="Times New Roman" w:hAnsi="Times New Roman" w:eastAsia="方正仿宋_GBK" w:cs="Times New Roman"/>
          <w:color w:val="000000"/>
          <w:kern w:val="0"/>
          <w:sz w:val="30"/>
          <w:szCs w:val="30"/>
          <w:lang w:bidi="ar"/>
        </w:rPr>
      </w:pPr>
      <w:r>
        <w:rPr>
          <w:rFonts w:hint="default" w:ascii="Times New Roman" w:hAnsi="Times New Roman" w:eastAsia="方正仿宋_GBK" w:cs="Times New Roman"/>
          <w:color w:val="000000"/>
          <w:kern w:val="0"/>
          <w:sz w:val="30"/>
          <w:szCs w:val="30"/>
          <w:lang w:bidi="ar"/>
        </w:rPr>
        <w:t>采购人成立评审小组，对供应商响应文件进行评审，得分为评审小组成员评分的算术平均分，分值保留小数点后两位。</w:t>
      </w:r>
    </w:p>
    <w:tbl>
      <w:tblPr>
        <w:tblStyle w:val="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23"/>
        <w:gridCol w:w="935"/>
        <w:gridCol w:w="6197"/>
      </w:tblGrid>
      <w:tr w14:paraId="037CD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9060" w:type="dxa"/>
            <w:gridSpan w:val="4"/>
            <w:tcBorders>
              <w:top w:val="single" w:color="auto" w:sz="4" w:space="0"/>
              <w:left w:val="single" w:color="auto" w:sz="4" w:space="0"/>
              <w:bottom w:val="single" w:color="auto" w:sz="4" w:space="0"/>
              <w:right w:val="single" w:color="auto" w:sz="4" w:space="0"/>
            </w:tcBorders>
            <w:vAlign w:val="center"/>
          </w:tcPr>
          <w:p w14:paraId="1270B6A9">
            <w:pPr>
              <w:pStyle w:val="5"/>
              <w:ind w:firstLine="0" w:firstLineChars="0"/>
              <w:rPr>
                <w:rFonts w:hint="default" w:ascii="Times New Roman" w:hAnsi="Times New Roman" w:eastAsia="方正仿宋_GBK" w:cs="Times New Roman"/>
                <w:b/>
                <w:sz w:val="21"/>
                <w:szCs w:val="21"/>
                <w:lang w:val="zh-CN"/>
              </w:rPr>
            </w:pPr>
            <w:r>
              <w:rPr>
                <w:rFonts w:hint="default" w:ascii="Times New Roman" w:hAnsi="Times New Roman" w:eastAsia="方正仿宋_GBK" w:cs="Times New Roman"/>
                <w:b/>
                <w:sz w:val="21"/>
                <w:szCs w:val="21"/>
              </w:rPr>
              <w:t>本次分值共计100分，</w:t>
            </w:r>
            <w:r>
              <w:rPr>
                <w:rFonts w:hint="default" w:ascii="Times New Roman" w:hAnsi="Times New Roman" w:eastAsia="方正仿宋_GBK" w:cs="Times New Roman"/>
                <w:b/>
                <w:sz w:val="21"/>
                <w:szCs w:val="21"/>
                <w:lang w:val="zh-CN"/>
              </w:rPr>
              <w:t>分值构成：技术部分</w:t>
            </w:r>
            <w:r>
              <w:rPr>
                <w:rFonts w:hint="default" w:ascii="Times New Roman" w:hAnsi="Times New Roman" w:eastAsia="方正仿宋_GBK" w:cs="Times New Roman"/>
                <w:b/>
                <w:sz w:val="21"/>
                <w:szCs w:val="21"/>
                <w:lang w:val="en-US" w:eastAsia="zh-CN"/>
              </w:rPr>
              <w:t>35</w:t>
            </w:r>
            <w:r>
              <w:rPr>
                <w:rFonts w:hint="default" w:ascii="Times New Roman" w:hAnsi="Times New Roman" w:eastAsia="方正仿宋_GBK" w:cs="Times New Roman"/>
                <w:b/>
                <w:sz w:val="21"/>
                <w:szCs w:val="21"/>
                <w:lang w:val="zh-CN"/>
              </w:rPr>
              <w:t>.0分；商务部分</w:t>
            </w:r>
            <w:r>
              <w:rPr>
                <w:rFonts w:hint="default" w:ascii="Times New Roman" w:hAnsi="Times New Roman" w:eastAsia="方正仿宋_GBK" w:cs="Times New Roman"/>
                <w:b/>
                <w:sz w:val="21"/>
                <w:szCs w:val="21"/>
                <w:lang w:val="en-US" w:eastAsia="zh-CN"/>
              </w:rPr>
              <w:t>50</w:t>
            </w:r>
            <w:r>
              <w:rPr>
                <w:rFonts w:hint="default" w:ascii="Times New Roman" w:hAnsi="Times New Roman" w:eastAsia="方正仿宋_GBK" w:cs="Times New Roman"/>
                <w:b/>
                <w:sz w:val="21"/>
                <w:szCs w:val="21"/>
                <w:lang w:val="zh-CN"/>
              </w:rPr>
              <w:t>.0分；报价得分</w:t>
            </w:r>
            <w:r>
              <w:rPr>
                <w:rFonts w:hint="default" w:ascii="Times New Roman" w:hAnsi="Times New Roman" w:eastAsia="方正仿宋_GBK" w:cs="Times New Roman"/>
                <w:b/>
                <w:sz w:val="21"/>
                <w:szCs w:val="21"/>
              </w:rPr>
              <w:t>1</w:t>
            </w:r>
            <w:r>
              <w:rPr>
                <w:rFonts w:hint="default" w:ascii="Times New Roman" w:hAnsi="Times New Roman" w:eastAsia="方正仿宋_GBK" w:cs="Times New Roman"/>
                <w:b/>
                <w:sz w:val="21"/>
                <w:szCs w:val="21"/>
                <w:lang w:val="en-US" w:eastAsia="zh-CN"/>
              </w:rPr>
              <w:t>5</w:t>
            </w:r>
            <w:r>
              <w:rPr>
                <w:rFonts w:hint="default" w:ascii="Times New Roman" w:hAnsi="Times New Roman" w:eastAsia="方正仿宋_GBK" w:cs="Times New Roman"/>
                <w:b/>
                <w:sz w:val="21"/>
                <w:szCs w:val="21"/>
                <w:lang w:val="zh-CN"/>
              </w:rPr>
              <w:t>.0分</w:t>
            </w:r>
          </w:p>
        </w:tc>
      </w:tr>
      <w:tr w14:paraId="47AB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9060" w:type="dxa"/>
            <w:gridSpan w:val="4"/>
            <w:tcBorders>
              <w:top w:val="single" w:color="auto" w:sz="4" w:space="0"/>
              <w:left w:val="single" w:color="auto" w:sz="4" w:space="0"/>
              <w:bottom w:val="single" w:color="auto" w:sz="4" w:space="0"/>
              <w:right w:val="single" w:color="auto" w:sz="4" w:space="0"/>
            </w:tcBorders>
            <w:vAlign w:val="center"/>
          </w:tcPr>
          <w:p w14:paraId="2DD10D06">
            <w:pPr>
              <w:pStyle w:val="5"/>
              <w:ind w:firstLine="0" w:firstLineChars="0"/>
              <w:jc w:val="center"/>
              <w:rPr>
                <w:rFonts w:hint="default" w:ascii="Times New Roman" w:hAnsi="Times New Roman" w:eastAsia="方正仿宋_GBK" w:cs="Times New Roman"/>
                <w:b/>
                <w:sz w:val="21"/>
                <w:szCs w:val="21"/>
                <w:lang w:eastAsia="zh-CN"/>
              </w:rPr>
            </w:pPr>
            <w:r>
              <w:rPr>
                <w:rFonts w:hint="default" w:ascii="Times New Roman" w:hAnsi="Times New Roman" w:eastAsia="方正仿宋_GBK" w:cs="Times New Roman"/>
                <w:b/>
                <w:sz w:val="21"/>
                <w:szCs w:val="21"/>
                <w:lang w:eastAsia="zh-CN"/>
              </w:rPr>
              <w:t>技术部分</w:t>
            </w:r>
          </w:p>
        </w:tc>
      </w:tr>
      <w:tr w14:paraId="43E7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66DA338F">
            <w:pPr>
              <w:pStyle w:val="5"/>
              <w:ind w:firstLine="0" w:firstLineChars="0"/>
              <w:jc w:val="center"/>
              <w:rPr>
                <w:rFonts w:hint="default" w:ascii="Times New Roman" w:hAnsi="Times New Roman" w:eastAsia="方正仿宋_GBK" w:cs="Times New Roman"/>
                <w:b/>
                <w:sz w:val="21"/>
                <w:szCs w:val="21"/>
                <w:lang w:val="zh-CN"/>
              </w:rPr>
            </w:pPr>
            <w:r>
              <w:rPr>
                <w:rFonts w:hint="default" w:ascii="Times New Roman" w:hAnsi="Times New Roman" w:eastAsia="方正仿宋_GBK" w:cs="Times New Roman"/>
                <w:b/>
                <w:sz w:val="21"/>
                <w:szCs w:val="21"/>
                <w:lang w:val="zh-CN"/>
              </w:rPr>
              <w:t>序号</w:t>
            </w:r>
          </w:p>
        </w:tc>
        <w:tc>
          <w:tcPr>
            <w:tcW w:w="1223" w:type="dxa"/>
            <w:tcBorders>
              <w:top w:val="single" w:color="auto" w:sz="4" w:space="0"/>
              <w:left w:val="single" w:color="auto" w:sz="4" w:space="0"/>
              <w:bottom w:val="single" w:color="auto" w:sz="4" w:space="0"/>
              <w:right w:val="single" w:color="auto" w:sz="4" w:space="0"/>
            </w:tcBorders>
            <w:vAlign w:val="center"/>
          </w:tcPr>
          <w:p w14:paraId="5947A8A5">
            <w:pPr>
              <w:pStyle w:val="5"/>
              <w:ind w:firstLine="0" w:firstLineChars="0"/>
              <w:jc w:val="center"/>
              <w:rPr>
                <w:rFonts w:hint="default" w:ascii="Times New Roman" w:hAnsi="Times New Roman" w:eastAsia="方正仿宋_GBK" w:cs="Times New Roman"/>
                <w:b/>
                <w:sz w:val="21"/>
                <w:szCs w:val="21"/>
                <w:lang w:val="zh-CN"/>
              </w:rPr>
            </w:pPr>
            <w:r>
              <w:rPr>
                <w:rFonts w:hint="default" w:ascii="Times New Roman" w:hAnsi="Times New Roman" w:eastAsia="方正仿宋_GBK" w:cs="Times New Roman"/>
                <w:b/>
                <w:sz w:val="21"/>
                <w:szCs w:val="21"/>
                <w:lang w:val="zh-CN"/>
              </w:rPr>
              <w:t>评分内容</w:t>
            </w:r>
          </w:p>
        </w:tc>
        <w:tc>
          <w:tcPr>
            <w:tcW w:w="935" w:type="dxa"/>
            <w:tcBorders>
              <w:top w:val="single" w:color="auto" w:sz="4" w:space="0"/>
              <w:left w:val="single" w:color="auto" w:sz="4" w:space="0"/>
              <w:bottom w:val="single" w:color="auto" w:sz="4" w:space="0"/>
              <w:right w:val="single" w:color="auto" w:sz="4" w:space="0"/>
            </w:tcBorders>
            <w:vAlign w:val="center"/>
          </w:tcPr>
          <w:p w14:paraId="3767854E">
            <w:pPr>
              <w:pStyle w:val="5"/>
              <w:ind w:firstLine="0" w:firstLineChars="0"/>
              <w:jc w:val="center"/>
              <w:rPr>
                <w:rFonts w:hint="default" w:ascii="Times New Roman" w:hAnsi="Times New Roman" w:eastAsia="方正仿宋_GBK" w:cs="Times New Roman"/>
                <w:b/>
                <w:sz w:val="21"/>
                <w:szCs w:val="21"/>
                <w:lang w:val="zh-CN"/>
              </w:rPr>
            </w:pPr>
            <w:r>
              <w:rPr>
                <w:rFonts w:hint="default" w:ascii="Times New Roman" w:hAnsi="Times New Roman" w:eastAsia="方正仿宋_GBK" w:cs="Times New Roman"/>
                <w:b/>
                <w:sz w:val="21"/>
                <w:szCs w:val="21"/>
                <w:lang w:val="zh-CN"/>
              </w:rPr>
              <w:t>分值</w:t>
            </w:r>
          </w:p>
        </w:tc>
        <w:tc>
          <w:tcPr>
            <w:tcW w:w="6197" w:type="dxa"/>
            <w:tcBorders>
              <w:top w:val="single" w:color="auto" w:sz="4" w:space="0"/>
              <w:left w:val="single" w:color="auto" w:sz="4" w:space="0"/>
              <w:bottom w:val="single" w:color="auto" w:sz="4" w:space="0"/>
              <w:right w:val="single" w:color="auto" w:sz="4" w:space="0"/>
            </w:tcBorders>
            <w:vAlign w:val="center"/>
          </w:tcPr>
          <w:p w14:paraId="151FF78C">
            <w:pPr>
              <w:pStyle w:val="5"/>
              <w:ind w:firstLine="0" w:firstLineChars="0"/>
              <w:jc w:val="center"/>
              <w:rPr>
                <w:rFonts w:hint="default" w:ascii="Times New Roman" w:hAnsi="Times New Roman" w:eastAsia="方正仿宋_GBK" w:cs="Times New Roman"/>
                <w:b/>
                <w:sz w:val="21"/>
                <w:szCs w:val="21"/>
                <w:lang w:val="zh-CN"/>
              </w:rPr>
            </w:pPr>
            <w:r>
              <w:rPr>
                <w:rFonts w:hint="default" w:ascii="Times New Roman" w:hAnsi="Times New Roman" w:eastAsia="方正仿宋_GBK" w:cs="Times New Roman"/>
                <w:b/>
                <w:sz w:val="21"/>
                <w:szCs w:val="21"/>
                <w:lang w:val="zh-CN"/>
              </w:rPr>
              <w:t>评分标准</w:t>
            </w:r>
          </w:p>
        </w:tc>
      </w:tr>
      <w:tr w14:paraId="0E681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709DBBE5">
            <w:pPr>
              <w:pStyle w:val="5"/>
              <w:adjustRightInd w:val="0"/>
              <w:snapToGrid w:val="0"/>
              <w:spacing w:line="240" w:lineRule="auto"/>
              <w:ind w:firstLine="0" w:firstLineChars="0"/>
              <w:jc w:val="center"/>
              <w:rPr>
                <w:rFonts w:hint="default" w:ascii="Times New Roman" w:hAnsi="Times New Roman" w:eastAsia="方正仿宋_GBK" w:cs="Times New Roman"/>
                <w:kern w:val="2"/>
                <w:sz w:val="21"/>
                <w:szCs w:val="21"/>
                <w:lang w:val="en-US" w:eastAsia="zh-CN" w:bidi="ar-SA"/>
              </w:rPr>
            </w:pPr>
            <w:r>
              <w:rPr>
                <w:rFonts w:hint="default" w:ascii="Times New Roman" w:hAnsi="Times New Roman" w:eastAsia="方正仿宋_GBK" w:cs="Times New Roman"/>
                <w:sz w:val="21"/>
                <w:szCs w:val="21"/>
                <w:lang w:val="en-US" w:eastAsia="zh-CN"/>
              </w:rPr>
              <w:t>1</w:t>
            </w:r>
          </w:p>
        </w:tc>
        <w:tc>
          <w:tcPr>
            <w:tcW w:w="1223" w:type="dxa"/>
            <w:tcBorders>
              <w:top w:val="single" w:color="auto" w:sz="4" w:space="0"/>
              <w:left w:val="single" w:color="auto" w:sz="4" w:space="0"/>
              <w:bottom w:val="single" w:color="auto" w:sz="4" w:space="0"/>
              <w:right w:val="single" w:color="auto" w:sz="4" w:space="0"/>
            </w:tcBorders>
            <w:vAlign w:val="center"/>
          </w:tcPr>
          <w:p w14:paraId="0DFD0E2B">
            <w:pPr>
              <w:adjustRightInd w:val="0"/>
              <w:snapToGrid w:val="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lang w:eastAsia="zh-CN"/>
              </w:rPr>
              <w:t>实施</w:t>
            </w:r>
            <w:r>
              <w:rPr>
                <w:rFonts w:hint="default" w:ascii="Times New Roman" w:hAnsi="Times New Roman" w:eastAsia="方正仿宋_GBK" w:cs="Times New Roman"/>
                <w:bCs/>
                <w:sz w:val="21"/>
                <w:szCs w:val="21"/>
              </w:rPr>
              <w:t>方案</w:t>
            </w:r>
          </w:p>
        </w:tc>
        <w:tc>
          <w:tcPr>
            <w:tcW w:w="935" w:type="dxa"/>
            <w:tcBorders>
              <w:top w:val="single" w:color="auto" w:sz="4" w:space="0"/>
              <w:left w:val="single" w:color="auto" w:sz="4" w:space="0"/>
              <w:bottom w:val="single" w:color="auto" w:sz="4" w:space="0"/>
              <w:right w:val="single" w:color="auto" w:sz="4" w:space="0"/>
            </w:tcBorders>
            <w:vAlign w:val="center"/>
          </w:tcPr>
          <w:p w14:paraId="5193E3DF">
            <w:pPr>
              <w:pStyle w:val="5"/>
              <w:adjustRightInd w:val="0"/>
              <w:snapToGrid w:val="0"/>
              <w:spacing w:line="240" w:lineRule="auto"/>
              <w:ind w:firstLine="0" w:firstLineChars="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lang w:val="en-US" w:eastAsia="zh-CN"/>
              </w:rPr>
              <w:t>20</w:t>
            </w:r>
            <w:r>
              <w:rPr>
                <w:rFonts w:hint="default" w:ascii="Times New Roman" w:hAnsi="Times New Roman" w:eastAsia="方正仿宋_GBK" w:cs="Times New Roman"/>
                <w:bCs/>
                <w:sz w:val="21"/>
                <w:szCs w:val="21"/>
                <w:lang w:val="zh-CN"/>
              </w:rPr>
              <w:t>分</w:t>
            </w:r>
          </w:p>
        </w:tc>
        <w:tc>
          <w:tcPr>
            <w:tcW w:w="6197" w:type="dxa"/>
            <w:tcBorders>
              <w:top w:val="single" w:color="auto" w:sz="4" w:space="0"/>
              <w:left w:val="single" w:color="auto" w:sz="4" w:space="0"/>
              <w:bottom w:val="single" w:color="auto" w:sz="4" w:space="0"/>
              <w:right w:val="single" w:color="auto" w:sz="4" w:space="0"/>
            </w:tcBorders>
            <w:vAlign w:val="center"/>
          </w:tcPr>
          <w:p w14:paraId="0431DBC6">
            <w:pPr>
              <w:adjustRightInd w:val="0"/>
              <w:snapToGrid w:val="0"/>
              <w:ind w:firstLine="420" w:firstLineChars="200"/>
              <w:jc w:val="left"/>
              <w:rPr>
                <w:rFonts w:hint="default" w:ascii="Times New Roman" w:hAnsi="Times New Roman" w:eastAsia="方正仿宋_GBK" w:cs="Times New Roman"/>
                <w:bCs/>
                <w:sz w:val="21"/>
                <w:szCs w:val="21"/>
              </w:rPr>
            </w:pPr>
            <w:r>
              <w:rPr>
                <w:rFonts w:hint="default" w:ascii="Times New Roman" w:hAnsi="Times New Roman" w:eastAsia="方正仿宋_GBK" w:cs="Times New Roman"/>
                <w:bCs/>
                <w:sz w:val="21"/>
                <w:szCs w:val="21"/>
              </w:rPr>
              <w:t>根据供应商的</w:t>
            </w:r>
            <w:r>
              <w:rPr>
                <w:rFonts w:hint="default" w:ascii="Times New Roman" w:hAnsi="Times New Roman" w:eastAsia="方正仿宋_GBK" w:cs="Times New Roman"/>
                <w:bCs/>
                <w:sz w:val="21"/>
                <w:szCs w:val="21"/>
                <w:lang w:eastAsia="zh-CN"/>
              </w:rPr>
              <w:t>实施</w:t>
            </w:r>
            <w:r>
              <w:rPr>
                <w:rFonts w:hint="default" w:ascii="Times New Roman" w:hAnsi="Times New Roman" w:eastAsia="方正仿宋_GBK" w:cs="Times New Roman"/>
                <w:bCs/>
                <w:sz w:val="21"/>
                <w:szCs w:val="21"/>
              </w:rPr>
              <w:t>方案的科学性、合理性、完整性和可行性以及方案是否能够满足用户需求进行综合评审：</w:t>
            </w:r>
          </w:p>
          <w:p w14:paraId="537E7F17">
            <w:pPr>
              <w:adjustRightInd w:val="0"/>
              <w:snapToGrid w:val="0"/>
              <w:ind w:firstLine="420" w:firstLineChars="200"/>
              <w:jc w:val="left"/>
              <w:rPr>
                <w:rFonts w:hint="default" w:ascii="Times New Roman" w:hAnsi="Times New Roman" w:eastAsia="方正仿宋_GBK" w:cs="Times New Roman"/>
                <w:bCs/>
                <w:sz w:val="21"/>
                <w:szCs w:val="21"/>
              </w:rPr>
            </w:pPr>
            <w:r>
              <w:rPr>
                <w:rFonts w:hint="default" w:ascii="Times New Roman" w:hAnsi="Times New Roman" w:eastAsia="方正仿宋_GBK" w:cs="Times New Roman"/>
                <w:bCs/>
                <w:sz w:val="21"/>
                <w:szCs w:val="21"/>
              </w:rPr>
              <w:t>（1）</w:t>
            </w:r>
            <w:r>
              <w:rPr>
                <w:rFonts w:hint="default" w:ascii="Times New Roman" w:hAnsi="Times New Roman" w:eastAsia="方正仿宋_GBK" w:cs="Times New Roman"/>
                <w:bCs/>
                <w:sz w:val="21"/>
                <w:szCs w:val="21"/>
                <w:lang w:eastAsia="zh-CN"/>
              </w:rPr>
              <w:t>实施</w:t>
            </w:r>
            <w:r>
              <w:rPr>
                <w:rFonts w:hint="default" w:ascii="Times New Roman" w:hAnsi="Times New Roman" w:eastAsia="方正仿宋_GBK" w:cs="Times New Roman"/>
                <w:bCs/>
                <w:sz w:val="21"/>
                <w:szCs w:val="21"/>
              </w:rPr>
              <w:t>方案科学合理，内容阐述详细全面、完整，可行性强，能够满足用户需求，得</w:t>
            </w:r>
            <w:r>
              <w:rPr>
                <w:rFonts w:hint="default" w:ascii="Times New Roman" w:hAnsi="Times New Roman" w:eastAsia="方正仿宋_GBK" w:cs="Times New Roman"/>
                <w:bCs/>
                <w:sz w:val="21"/>
                <w:szCs w:val="21"/>
                <w:lang w:val="en-US" w:eastAsia="zh-CN"/>
              </w:rPr>
              <w:t>20</w:t>
            </w:r>
            <w:r>
              <w:rPr>
                <w:rFonts w:hint="default" w:ascii="Times New Roman" w:hAnsi="Times New Roman" w:eastAsia="方正仿宋_GBK" w:cs="Times New Roman"/>
                <w:bCs/>
                <w:sz w:val="21"/>
                <w:szCs w:val="21"/>
              </w:rPr>
              <w:t>分；</w:t>
            </w:r>
          </w:p>
          <w:p w14:paraId="3E67E14B">
            <w:pPr>
              <w:adjustRightInd w:val="0"/>
              <w:snapToGrid w:val="0"/>
              <w:ind w:firstLine="420" w:firstLineChars="200"/>
              <w:jc w:val="left"/>
              <w:rPr>
                <w:rFonts w:hint="default" w:ascii="Times New Roman" w:hAnsi="Times New Roman" w:eastAsia="方正仿宋_GBK" w:cs="Times New Roman"/>
                <w:bCs/>
                <w:sz w:val="21"/>
                <w:szCs w:val="21"/>
              </w:rPr>
            </w:pPr>
            <w:r>
              <w:rPr>
                <w:rFonts w:hint="default" w:ascii="Times New Roman" w:hAnsi="Times New Roman" w:eastAsia="方正仿宋_GBK" w:cs="Times New Roman"/>
                <w:bCs/>
                <w:sz w:val="21"/>
                <w:szCs w:val="21"/>
              </w:rPr>
              <w:t>（</w:t>
            </w:r>
            <w:r>
              <w:rPr>
                <w:rFonts w:hint="default" w:ascii="Times New Roman" w:hAnsi="Times New Roman" w:eastAsia="方正仿宋_GBK" w:cs="Times New Roman"/>
                <w:bCs/>
                <w:sz w:val="21"/>
                <w:szCs w:val="21"/>
                <w:lang w:val="en-US" w:eastAsia="zh-CN"/>
              </w:rPr>
              <w:t>2</w:t>
            </w:r>
            <w:r>
              <w:rPr>
                <w:rFonts w:hint="default" w:ascii="Times New Roman" w:hAnsi="Times New Roman" w:eastAsia="方正仿宋_GBK" w:cs="Times New Roman"/>
                <w:bCs/>
                <w:sz w:val="21"/>
                <w:szCs w:val="21"/>
              </w:rPr>
              <w:t>）</w:t>
            </w:r>
            <w:r>
              <w:rPr>
                <w:rFonts w:hint="default" w:ascii="Times New Roman" w:hAnsi="Times New Roman" w:eastAsia="方正仿宋_GBK" w:cs="Times New Roman"/>
                <w:bCs/>
                <w:sz w:val="21"/>
                <w:szCs w:val="21"/>
                <w:lang w:eastAsia="zh-CN"/>
              </w:rPr>
              <w:t>实施</w:t>
            </w:r>
            <w:r>
              <w:rPr>
                <w:rFonts w:hint="default" w:ascii="Times New Roman" w:hAnsi="Times New Roman" w:eastAsia="方正仿宋_GBK" w:cs="Times New Roman"/>
                <w:bCs/>
                <w:sz w:val="21"/>
                <w:szCs w:val="21"/>
              </w:rPr>
              <w:t>方案基本合理，内容阐述</w:t>
            </w:r>
            <w:r>
              <w:rPr>
                <w:rFonts w:hint="default" w:ascii="Times New Roman" w:hAnsi="Times New Roman" w:eastAsia="方正仿宋_GBK" w:cs="Times New Roman"/>
                <w:bCs/>
                <w:sz w:val="21"/>
                <w:szCs w:val="21"/>
                <w:lang w:eastAsia="zh-CN"/>
              </w:rPr>
              <w:t>较</w:t>
            </w:r>
            <w:r>
              <w:rPr>
                <w:rFonts w:hint="default" w:ascii="Times New Roman" w:hAnsi="Times New Roman" w:eastAsia="方正仿宋_GBK" w:cs="Times New Roman"/>
                <w:bCs/>
                <w:sz w:val="21"/>
                <w:szCs w:val="21"/>
              </w:rPr>
              <w:t>全面、完整，</w:t>
            </w:r>
            <w:r>
              <w:rPr>
                <w:rFonts w:hint="default" w:ascii="Times New Roman" w:hAnsi="Times New Roman" w:eastAsia="方正仿宋_GBK" w:cs="Times New Roman"/>
                <w:bCs/>
                <w:sz w:val="21"/>
                <w:szCs w:val="21"/>
                <w:lang w:eastAsia="zh-CN"/>
              </w:rPr>
              <w:t>较</w:t>
            </w:r>
            <w:r>
              <w:rPr>
                <w:rFonts w:hint="default" w:ascii="Times New Roman" w:hAnsi="Times New Roman" w:eastAsia="方正仿宋_GBK" w:cs="Times New Roman"/>
                <w:bCs/>
                <w:sz w:val="21"/>
                <w:szCs w:val="21"/>
              </w:rPr>
              <w:t>可行，基本满足用户需求，得</w:t>
            </w:r>
            <w:r>
              <w:rPr>
                <w:rFonts w:hint="default" w:ascii="Times New Roman" w:hAnsi="Times New Roman" w:eastAsia="方正仿宋_GBK" w:cs="Times New Roman"/>
                <w:bCs/>
                <w:sz w:val="21"/>
                <w:szCs w:val="21"/>
                <w:lang w:val="en-US" w:eastAsia="zh-CN"/>
              </w:rPr>
              <w:t>15</w:t>
            </w:r>
            <w:r>
              <w:rPr>
                <w:rFonts w:hint="default" w:ascii="Times New Roman" w:hAnsi="Times New Roman" w:eastAsia="方正仿宋_GBK" w:cs="Times New Roman"/>
                <w:bCs/>
                <w:sz w:val="21"/>
                <w:szCs w:val="21"/>
              </w:rPr>
              <w:t>分；</w:t>
            </w:r>
          </w:p>
          <w:p w14:paraId="33A4B860">
            <w:pPr>
              <w:adjustRightInd w:val="0"/>
              <w:snapToGrid w:val="0"/>
              <w:ind w:firstLine="420" w:firstLineChars="200"/>
              <w:jc w:val="left"/>
              <w:rPr>
                <w:rFonts w:hint="default" w:ascii="Times New Roman" w:hAnsi="Times New Roman" w:eastAsia="方正仿宋_GBK" w:cs="Times New Roman"/>
                <w:bCs/>
                <w:sz w:val="21"/>
                <w:szCs w:val="21"/>
              </w:rPr>
            </w:pPr>
            <w:r>
              <w:rPr>
                <w:rFonts w:hint="default" w:ascii="Times New Roman" w:hAnsi="Times New Roman" w:eastAsia="方正仿宋_GBK" w:cs="Times New Roman"/>
                <w:bCs/>
                <w:sz w:val="21"/>
                <w:szCs w:val="21"/>
              </w:rPr>
              <w:t>（</w:t>
            </w:r>
            <w:r>
              <w:rPr>
                <w:rFonts w:hint="default" w:ascii="Times New Roman" w:hAnsi="Times New Roman" w:eastAsia="方正仿宋_GBK" w:cs="Times New Roman"/>
                <w:bCs/>
                <w:sz w:val="21"/>
                <w:szCs w:val="21"/>
                <w:lang w:val="en-US" w:eastAsia="zh-CN"/>
              </w:rPr>
              <w:t>3</w:t>
            </w:r>
            <w:r>
              <w:rPr>
                <w:rFonts w:hint="default" w:ascii="Times New Roman" w:hAnsi="Times New Roman" w:eastAsia="方正仿宋_GBK" w:cs="Times New Roman"/>
                <w:bCs/>
                <w:sz w:val="21"/>
                <w:szCs w:val="21"/>
              </w:rPr>
              <w:t>）</w:t>
            </w:r>
            <w:r>
              <w:rPr>
                <w:rFonts w:hint="default" w:ascii="Times New Roman" w:hAnsi="Times New Roman" w:eastAsia="方正仿宋_GBK" w:cs="Times New Roman"/>
                <w:bCs/>
                <w:sz w:val="21"/>
                <w:szCs w:val="21"/>
                <w:lang w:eastAsia="zh-CN"/>
              </w:rPr>
              <w:t>实施</w:t>
            </w:r>
            <w:r>
              <w:rPr>
                <w:rFonts w:hint="default" w:ascii="Times New Roman" w:hAnsi="Times New Roman" w:eastAsia="方正仿宋_GBK" w:cs="Times New Roman"/>
                <w:bCs/>
                <w:sz w:val="21"/>
                <w:szCs w:val="21"/>
              </w:rPr>
              <w:t>方案具有一定的科学性和合理性，</w:t>
            </w:r>
            <w:r>
              <w:rPr>
                <w:rFonts w:hint="default" w:ascii="Times New Roman" w:hAnsi="Times New Roman" w:eastAsia="方正仿宋_GBK" w:cs="Times New Roman"/>
                <w:bCs/>
                <w:sz w:val="21"/>
                <w:szCs w:val="21"/>
                <w:lang w:eastAsia="zh-CN"/>
              </w:rPr>
              <w:t>但</w:t>
            </w:r>
            <w:r>
              <w:rPr>
                <w:rFonts w:hint="default" w:ascii="Times New Roman" w:hAnsi="Times New Roman" w:eastAsia="方正仿宋_GBK" w:cs="Times New Roman"/>
                <w:bCs/>
                <w:sz w:val="21"/>
                <w:szCs w:val="21"/>
              </w:rPr>
              <w:t>内容阐述不够到位，有一定的可行性，一定程度上可以满足用户需求，得</w:t>
            </w:r>
            <w:r>
              <w:rPr>
                <w:rFonts w:hint="default" w:ascii="Times New Roman" w:hAnsi="Times New Roman" w:eastAsia="方正仿宋_GBK" w:cs="Times New Roman"/>
                <w:bCs/>
                <w:sz w:val="21"/>
                <w:szCs w:val="21"/>
                <w:lang w:val="en-US" w:eastAsia="zh-CN"/>
              </w:rPr>
              <w:t>10</w:t>
            </w:r>
            <w:r>
              <w:rPr>
                <w:rFonts w:hint="default" w:ascii="Times New Roman" w:hAnsi="Times New Roman" w:eastAsia="方正仿宋_GBK" w:cs="Times New Roman"/>
                <w:bCs/>
                <w:sz w:val="21"/>
                <w:szCs w:val="21"/>
              </w:rPr>
              <w:t>分；</w:t>
            </w:r>
          </w:p>
          <w:p w14:paraId="72699246">
            <w:pPr>
              <w:adjustRightInd w:val="0"/>
              <w:snapToGrid w:val="0"/>
              <w:ind w:firstLine="420" w:firstLineChars="200"/>
              <w:jc w:val="left"/>
              <w:rPr>
                <w:rFonts w:hint="default" w:ascii="Times New Roman" w:hAnsi="Times New Roman" w:eastAsia="方正仿宋_GBK" w:cs="Times New Roman"/>
                <w:bCs/>
                <w:kern w:val="2"/>
                <w:sz w:val="21"/>
                <w:szCs w:val="21"/>
                <w:lang w:val="zh-CN" w:eastAsia="zh-CN" w:bidi="ar-SA"/>
              </w:rPr>
            </w:pPr>
            <w:r>
              <w:rPr>
                <w:rFonts w:hint="default" w:ascii="Times New Roman" w:hAnsi="Times New Roman" w:eastAsia="方正仿宋_GBK" w:cs="Times New Roman"/>
                <w:bCs/>
                <w:sz w:val="21"/>
                <w:szCs w:val="21"/>
              </w:rPr>
              <w:t>（</w:t>
            </w:r>
            <w:r>
              <w:rPr>
                <w:rFonts w:hint="default" w:ascii="Times New Roman" w:hAnsi="Times New Roman" w:eastAsia="方正仿宋_GBK" w:cs="Times New Roman"/>
                <w:bCs/>
                <w:sz w:val="21"/>
                <w:szCs w:val="21"/>
                <w:lang w:val="en-US" w:eastAsia="zh-CN"/>
              </w:rPr>
              <w:t>4</w:t>
            </w:r>
            <w:r>
              <w:rPr>
                <w:rFonts w:hint="default" w:ascii="Times New Roman" w:hAnsi="Times New Roman" w:eastAsia="方正仿宋_GBK" w:cs="Times New Roman"/>
                <w:bCs/>
                <w:sz w:val="21"/>
                <w:szCs w:val="21"/>
              </w:rPr>
              <w:t>）未提供方案或提供的方案完全脱离项目实际，不得分。</w:t>
            </w:r>
          </w:p>
        </w:tc>
      </w:tr>
      <w:tr w14:paraId="5E52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551F35D9">
            <w:pPr>
              <w:pStyle w:val="5"/>
              <w:adjustRightInd w:val="0"/>
              <w:snapToGrid w:val="0"/>
              <w:spacing w:line="240" w:lineRule="auto"/>
              <w:ind w:firstLine="0" w:firstLineChars="0"/>
              <w:jc w:val="center"/>
              <w:rPr>
                <w:rFonts w:hint="default" w:ascii="Times New Roman" w:hAnsi="Times New Roman" w:eastAsia="方正仿宋_GBK" w:cs="Times New Roman"/>
                <w:kern w:val="2"/>
                <w:sz w:val="21"/>
                <w:szCs w:val="21"/>
                <w:lang w:val="en-US" w:eastAsia="zh-CN" w:bidi="ar-SA"/>
              </w:rPr>
            </w:pPr>
            <w:r>
              <w:rPr>
                <w:rFonts w:hint="default" w:ascii="Times New Roman" w:hAnsi="Times New Roman" w:eastAsia="方正仿宋_GBK" w:cs="Times New Roman"/>
                <w:sz w:val="21"/>
                <w:szCs w:val="21"/>
                <w:lang w:val="en-US" w:eastAsia="zh-CN"/>
              </w:rPr>
              <w:t>2</w:t>
            </w:r>
          </w:p>
        </w:tc>
        <w:tc>
          <w:tcPr>
            <w:tcW w:w="1223" w:type="dxa"/>
            <w:tcBorders>
              <w:top w:val="single" w:color="auto" w:sz="4" w:space="0"/>
              <w:left w:val="single" w:color="auto" w:sz="4" w:space="0"/>
              <w:bottom w:val="single" w:color="auto" w:sz="4" w:space="0"/>
              <w:right w:val="single" w:color="auto" w:sz="4" w:space="0"/>
            </w:tcBorders>
            <w:vAlign w:val="center"/>
          </w:tcPr>
          <w:p w14:paraId="760DA6F2">
            <w:pPr>
              <w:adjustRightInd w:val="0"/>
              <w:snapToGrid w:val="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rPr>
              <w:t>质量保障措施及服务承诺</w:t>
            </w:r>
          </w:p>
        </w:tc>
        <w:tc>
          <w:tcPr>
            <w:tcW w:w="935" w:type="dxa"/>
            <w:tcBorders>
              <w:top w:val="single" w:color="auto" w:sz="4" w:space="0"/>
              <w:left w:val="single" w:color="auto" w:sz="4" w:space="0"/>
              <w:bottom w:val="single" w:color="auto" w:sz="4" w:space="0"/>
              <w:right w:val="single" w:color="auto" w:sz="4" w:space="0"/>
            </w:tcBorders>
            <w:vAlign w:val="center"/>
          </w:tcPr>
          <w:p w14:paraId="36192185">
            <w:pPr>
              <w:pStyle w:val="5"/>
              <w:adjustRightInd w:val="0"/>
              <w:snapToGrid w:val="0"/>
              <w:spacing w:line="240" w:lineRule="auto"/>
              <w:ind w:firstLine="0" w:firstLineChars="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lang w:val="en-US" w:eastAsia="zh-CN"/>
              </w:rPr>
              <w:t>15</w:t>
            </w:r>
            <w:r>
              <w:rPr>
                <w:rFonts w:hint="default" w:ascii="Times New Roman" w:hAnsi="Times New Roman" w:eastAsia="方正仿宋_GBK" w:cs="Times New Roman"/>
                <w:bCs/>
                <w:sz w:val="21"/>
                <w:szCs w:val="21"/>
              </w:rPr>
              <w:t>分</w:t>
            </w:r>
          </w:p>
        </w:tc>
        <w:tc>
          <w:tcPr>
            <w:tcW w:w="6197" w:type="dxa"/>
            <w:tcBorders>
              <w:top w:val="single" w:color="auto" w:sz="4" w:space="0"/>
              <w:left w:val="single" w:color="auto" w:sz="4" w:space="0"/>
              <w:bottom w:val="single" w:color="auto" w:sz="4" w:space="0"/>
              <w:right w:val="single" w:color="auto" w:sz="4" w:space="0"/>
            </w:tcBorders>
            <w:vAlign w:val="center"/>
          </w:tcPr>
          <w:p w14:paraId="65DAE40A">
            <w:pPr>
              <w:adjustRightInd w:val="0"/>
              <w:snapToGrid w:val="0"/>
              <w:ind w:firstLine="420" w:firstLineChars="200"/>
              <w:jc w:val="left"/>
              <w:rPr>
                <w:rFonts w:hint="default" w:ascii="Times New Roman" w:hAnsi="Times New Roman" w:eastAsia="方正仿宋_GBK" w:cs="Times New Roman"/>
                <w:bCs/>
                <w:sz w:val="21"/>
                <w:szCs w:val="21"/>
              </w:rPr>
            </w:pPr>
            <w:r>
              <w:rPr>
                <w:rFonts w:hint="default" w:ascii="Times New Roman" w:hAnsi="Times New Roman" w:eastAsia="方正仿宋_GBK" w:cs="Times New Roman"/>
                <w:bCs/>
                <w:sz w:val="21"/>
                <w:szCs w:val="21"/>
              </w:rPr>
              <w:t>根据供应商提供的质量保障措施和服务承诺进行综合评审：</w:t>
            </w:r>
          </w:p>
          <w:p w14:paraId="647EEBBD">
            <w:pPr>
              <w:adjustRightInd w:val="0"/>
              <w:snapToGrid w:val="0"/>
              <w:ind w:firstLine="420" w:firstLineChars="200"/>
              <w:jc w:val="left"/>
              <w:rPr>
                <w:rFonts w:hint="default" w:ascii="Times New Roman" w:hAnsi="Times New Roman" w:eastAsia="方正仿宋_GBK" w:cs="Times New Roman"/>
                <w:bCs/>
                <w:sz w:val="21"/>
                <w:szCs w:val="21"/>
              </w:rPr>
            </w:pPr>
            <w:r>
              <w:rPr>
                <w:rFonts w:hint="default" w:ascii="Times New Roman" w:hAnsi="Times New Roman" w:eastAsia="方正仿宋_GBK" w:cs="Times New Roman"/>
                <w:bCs/>
                <w:sz w:val="21"/>
                <w:szCs w:val="21"/>
              </w:rPr>
              <w:t>（1）质量保障措施和服务承诺全面、合理，针对性和可行性强，服务承诺完整，完全满足用户需求，得</w:t>
            </w:r>
            <w:r>
              <w:rPr>
                <w:rFonts w:hint="default" w:ascii="Times New Roman" w:hAnsi="Times New Roman" w:eastAsia="方正仿宋_GBK" w:cs="Times New Roman"/>
                <w:bCs/>
                <w:sz w:val="21"/>
                <w:szCs w:val="21"/>
                <w:lang w:val="en-US" w:eastAsia="zh-CN"/>
              </w:rPr>
              <w:t>15</w:t>
            </w:r>
            <w:r>
              <w:rPr>
                <w:rFonts w:hint="default" w:ascii="Times New Roman" w:hAnsi="Times New Roman" w:eastAsia="方正仿宋_GBK" w:cs="Times New Roman"/>
                <w:bCs/>
                <w:sz w:val="21"/>
                <w:szCs w:val="21"/>
              </w:rPr>
              <w:t>分；</w:t>
            </w:r>
          </w:p>
          <w:p w14:paraId="1294B44A">
            <w:pPr>
              <w:adjustRightInd w:val="0"/>
              <w:snapToGrid w:val="0"/>
              <w:ind w:firstLine="420" w:firstLineChars="200"/>
              <w:jc w:val="left"/>
              <w:rPr>
                <w:rFonts w:hint="default" w:ascii="Times New Roman" w:hAnsi="Times New Roman" w:eastAsia="方正仿宋_GBK" w:cs="Times New Roman"/>
                <w:bCs/>
                <w:sz w:val="21"/>
                <w:szCs w:val="21"/>
              </w:rPr>
            </w:pPr>
            <w:r>
              <w:rPr>
                <w:rFonts w:hint="default" w:ascii="Times New Roman" w:hAnsi="Times New Roman" w:eastAsia="方正仿宋_GBK" w:cs="Times New Roman"/>
                <w:bCs/>
                <w:sz w:val="21"/>
                <w:szCs w:val="21"/>
              </w:rPr>
              <w:t>（</w:t>
            </w:r>
            <w:r>
              <w:rPr>
                <w:rFonts w:hint="default" w:ascii="Times New Roman" w:hAnsi="Times New Roman" w:eastAsia="方正仿宋_GBK" w:cs="Times New Roman"/>
                <w:bCs/>
                <w:sz w:val="21"/>
                <w:szCs w:val="21"/>
                <w:lang w:val="en-US" w:eastAsia="zh-CN"/>
              </w:rPr>
              <w:t>2</w:t>
            </w:r>
            <w:r>
              <w:rPr>
                <w:rFonts w:hint="default" w:ascii="Times New Roman" w:hAnsi="Times New Roman" w:eastAsia="方正仿宋_GBK" w:cs="Times New Roman"/>
                <w:bCs/>
                <w:sz w:val="21"/>
                <w:szCs w:val="21"/>
              </w:rPr>
              <w:t>）质量保障措施和服务承诺基本合理，具有一定的可行性，基本能够满足用户需求，得</w:t>
            </w:r>
            <w:r>
              <w:rPr>
                <w:rFonts w:hint="default" w:ascii="Times New Roman" w:hAnsi="Times New Roman" w:eastAsia="方正仿宋_GBK" w:cs="Times New Roman"/>
                <w:bCs/>
                <w:sz w:val="21"/>
                <w:szCs w:val="21"/>
                <w:lang w:val="en-US" w:eastAsia="zh-CN"/>
              </w:rPr>
              <w:t>12</w:t>
            </w:r>
            <w:r>
              <w:rPr>
                <w:rFonts w:hint="default" w:ascii="Times New Roman" w:hAnsi="Times New Roman" w:eastAsia="方正仿宋_GBK" w:cs="Times New Roman"/>
                <w:bCs/>
                <w:sz w:val="21"/>
                <w:szCs w:val="21"/>
              </w:rPr>
              <w:t>分；</w:t>
            </w:r>
          </w:p>
          <w:p w14:paraId="0B4065DD">
            <w:pPr>
              <w:adjustRightInd w:val="0"/>
              <w:snapToGrid w:val="0"/>
              <w:ind w:firstLine="420" w:firstLineChars="200"/>
              <w:jc w:val="left"/>
              <w:rPr>
                <w:rFonts w:hint="default" w:ascii="Times New Roman" w:hAnsi="Times New Roman" w:eastAsia="方正仿宋_GBK" w:cs="Times New Roman"/>
                <w:bCs/>
                <w:sz w:val="21"/>
                <w:szCs w:val="21"/>
              </w:rPr>
            </w:pPr>
            <w:r>
              <w:rPr>
                <w:rFonts w:hint="default" w:ascii="Times New Roman" w:hAnsi="Times New Roman" w:eastAsia="方正仿宋_GBK" w:cs="Times New Roman"/>
                <w:bCs/>
                <w:sz w:val="21"/>
                <w:szCs w:val="21"/>
              </w:rPr>
              <w:t>（</w:t>
            </w:r>
            <w:r>
              <w:rPr>
                <w:rFonts w:hint="default" w:ascii="Times New Roman" w:hAnsi="Times New Roman" w:eastAsia="方正仿宋_GBK" w:cs="Times New Roman"/>
                <w:bCs/>
                <w:sz w:val="21"/>
                <w:szCs w:val="21"/>
                <w:lang w:val="en-US" w:eastAsia="zh-CN"/>
              </w:rPr>
              <w:t>3</w:t>
            </w:r>
            <w:r>
              <w:rPr>
                <w:rFonts w:hint="default" w:ascii="Times New Roman" w:hAnsi="Times New Roman" w:eastAsia="方正仿宋_GBK" w:cs="Times New Roman"/>
                <w:bCs/>
                <w:sz w:val="21"/>
                <w:szCs w:val="21"/>
              </w:rPr>
              <w:t>）质量保障措施和服务承诺合理性和可行性较差，得</w:t>
            </w:r>
            <w:r>
              <w:rPr>
                <w:rFonts w:hint="default" w:ascii="Times New Roman" w:hAnsi="Times New Roman" w:eastAsia="方正仿宋_GBK" w:cs="Times New Roman"/>
                <w:bCs/>
                <w:sz w:val="21"/>
                <w:szCs w:val="21"/>
                <w:lang w:val="en-US" w:eastAsia="zh-CN"/>
              </w:rPr>
              <w:t>8</w:t>
            </w:r>
            <w:r>
              <w:rPr>
                <w:rFonts w:hint="default" w:ascii="Times New Roman" w:hAnsi="Times New Roman" w:eastAsia="方正仿宋_GBK" w:cs="Times New Roman"/>
                <w:bCs/>
                <w:sz w:val="21"/>
                <w:szCs w:val="21"/>
              </w:rPr>
              <w:t>分；</w:t>
            </w:r>
          </w:p>
          <w:p w14:paraId="1106EC03">
            <w:pPr>
              <w:adjustRightInd w:val="0"/>
              <w:snapToGrid w:val="0"/>
              <w:ind w:firstLine="420" w:firstLineChars="200"/>
              <w:jc w:val="left"/>
              <w:rPr>
                <w:rFonts w:hint="default" w:ascii="Times New Roman" w:hAnsi="Times New Roman" w:eastAsia="方正仿宋_GBK" w:cs="Times New Roman"/>
                <w:bCs/>
                <w:kern w:val="2"/>
                <w:sz w:val="21"/>
                <w:szCs w:val="21"/>
                <w:lang w:val="zh-CN" w:eastAsia="zh-CN" w:bidi="ar-SA"/>
              </w:rPr>
            </w:pPr>
            <w:r>
              <w:rPr>
                <w:rFonts w:hint="default" w:ascii="Times New Roman" w:hAnsi="Times New Roman" w:eastAsia="方正仿宋_GBK" w:cs="Times New Roman"/>
                <w:bCs/>
                <w:sz w:val="21"/>
                <w:szCs w:val="21"/>
              </w:rPr>
              <w:t>（</w:t>
            </w:r>
            <w:r>
              <w:rPr>
                <w:rFonts w:hint="default" w:ascii="Times New Roman" w:hAnsi="Times New Roman" w:eastAsia="方正仿宋_GBK" w:cs="Times New Roman"/>
                <w:bCs/>
                <w:sz w:val="21"/>
                <w:szCs w:val="21"/>
                <w:lang w:val="en-US" w:eastAsia="zh-CN"/>
              </w:rPr>
              <w:t>4</w:t>
            </w:r>
            <w:r>
              <w:rPr>
                <w:rFonts w:hint="default" w:ascii="Times New Roman" w:hAnsi="Times New Roman" w:eastAsia="方正仿宋_GBK" w:cs="Times New Roman"/>
                <w:bCs/>
                <w:sz w:val="21"/>
                <w:szCs w:val="21"/>
              </w:rPr>
              <w:t>）未提供对应方案不得分。</w:t>
            </w:r>
          </w:p>
        </w:tc>
      </w:tr>
      <w:tr w14:paraId="6486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9060" w:type="dxa"/>
            <w:gridSpan w:val="4"/>
            <w:tcBorders>
              <w:top w:val="single" w:color="auto" w:sz="4" w:space="0"/>
              <w:left w:val="single" w:color="auto" w:sz="4" w:space="0"/>
              <w:bottom w:val="single" w:color="auto" w:sz="4" w:space="0"/>
              <w:right w:val="single" w:color="auto" w:sz="4" w:space="0"/>
            </w:tcBorders>
            <w:vAlign w:val="center"/>
          </w:tcPr>
          <w:p w14:paraId="70E1983D">
            <w:pPr>
              <w:pStyle w:val="5"/>
              <w:adjustRightInd w:val="0"/>
              <w:snapToGrid w:val="0"/>
              <w:spacing w:line="240" w:lineRule="auto"/>
              <w:ind w:firstLine="0" w:firstLineChars="0"/>
              <w:jc w:val="center"/>
              <w:rPr>
                <w:rFonts w:hint="default" w:ascii="Times New Roman" w:hAnsi="Times New Roman" w:eastAsia="方正仿宋_GBK" w:cs="Times New Roman"/>
                <w:b/>
                <w:sz w:val="21"/>
                <w:szCs w:val="21"/>
              </w:rPr>
            </w:pPr>
            <w:r>
              <w:rPr>
                <w:rFonts w:hint="default" w:ascii="Times New Roman" w:hAnsi="Times New Roman" w:eastAsia="方正仿宋_GBK" w:cs="Times New Roman"/>
                <w:b/>
                <w:sz w:val="21"/>
                <w:szCs w:val="21"/>
                <w:lang w:eastAsia="zh-CN"/>
              </w:rPr>
              <w:t>商务</w:t>
            </w:r>
            <w:r>
              <w:rPr>
                <w:rFonts w:hint="default" w:ascii="Times New Roman" w:hAnsi="Times New Roman" w:eastAsia="方正仿宋_GBK" w:cs="Times New Roman"/>
                <w:b/>
                <w:sz w:val="21"/>
                <w:szCs w:val="21"/>
              </w:rPr>
              <w:t>部分</w:t>
            </w:r>
          </w:p>
        </w:tc>
      </w:tr>
      <w:tr w14:paraId="2A29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0A08D413">
            <w:pPr>
              <w:pStyle w:val="5"/>
              <w:adjustRightInd w:val="0"/>
              <w:snapToGrid w:val="0"/>
              <w:spacing w:line="240" w:lineRule="auto"/>
              <w:ind w:firstLine="0" w:firstLineChars="0"/>
              <w:jc w:val="center"/>
              <w:rPr>
                <w:rFonts w:hint="default" w:ascii="Times New Roman" w:hAnsi="Times New Roman" w:eastAsia="方正仿宋_GBK" w:cs="Times New Roman"/>
                <w:b/>
                <w:sz w:val="21"/>
                <w:szCs w:val="21"/>
                <w:lang w:val="zh-CN"/>
              </w:rPr>
            </w:pPr>
            <w:r>
              <w:rPr>
                <w:rFonts w:hint="default" w:ascii="Times New Roman" w:hAnsi="Times New Roman" w:eastAsia="方正仿宋_GBK" w:cs="Times New Roman"/>
                <w:b/>
                <w:sz w:val="21"/>
                <w:szCs w:val="21"/>
                <w:lang w:val="zh-CN"/>
              </w:rPr>
              <w:t>序号</w:t>
            </w:r>
          </w:p>
        </w:tc>
        <w:tc>
          <w:tcPr>
            <w:tcW w:w="1223" w:type="dxa"/>
            <w:tcBorders>
              <w:top w:val="single" w:color="auto" w:sz="4" w:space="0"/>
              <w:left w:val="single" w:color="auto" w:sz="4" w:space="0"/>
              <w:bottom w:val="single" w:color="auto" w:sz="4" w:space="0"/>
              <w:right w:val="single" w:color="auto" w:sz="4" w:space="0"/>
            </w:tcBorders>
            <w:vAlign w:val="center"/>
          </w:tcPr>
          <w:p w14:paraId="63C4F4E9">
            <w:pPr>
              <w:pStyle w:val="5"/>
              <w:adjustRightInd w:val="0"/>
              <w:snapToGrid w:val="0"/>
              <w:spacing w:line="240" w:lineRule="auto"/>
              <w:ind w:firstLine="0" w:firstLineChars="0"/>
              <w:jc w:val="center"/>
              <w:rPr>
                <w:rFonts w:hint="default" w:ascii="Times New Roman" w:hAnsi="Times New Roman" w:eastAsia="方正仿宋_GBK" w:cs="Times New Roman"/>
                <w:b/>
                <w:sz w:val="21"/>
                <w:szCs w:val="21"/>
                <w:lang w:val="zh-CN"/>
              </w:rPr>
            </w:pPr>
            <w:r>
              <w:rPr>
                <w:rFonts w:hint="default" w:ascii="Times New Roman" w:hAnsi="Times New Roman" w:eastAsia="方正仿宋_GBK" w:cs="Times New Roman"/>
                <w:b/>
                <w:sz w:val="21"/>
                <w:szCs w:val="21"/>
                <w:lang w:val="zh-CN"/>
              </w:rPr>
              <w:t>评分内容</w:t>
            </w:r>
          </w:p>
        </w:tc>
        <w:tc>
          <w:tcPr>
            <w:tcW w:w="935" w:type="dxa"/>
            <w:tcBorders>
              <w:top w:val="single" w:color="auto" w:sz="4" w:space="0"/>
              <w:left w:val="single" w:color="auto" w:sz="4" w:space="0"/>
              <w:bottom w:val="single" w:color="auto" w:sz="4" w:space="0"/>
              <w:right w:val="single" w:color="auto" w:sz="4" w:space="0"/>
            </w:tcBorders>
            <w:vAlign w:val="center"/>
          </w:tcPr>
          <w:p w14:paraId="6BF92000">
            <w:pPr>
              <w:pStyle w:val="5"/>
              <w:adjustRightInd w:val="0"/>
              <w:snapToGrid w:val="0"/>
              <w:spacing w:line="240" w:lineRule="auto"/>
              <w:ind w:firstLine="0" w:firstLineChars="0"/>
              <w:jc w:val="center"/>
              <w:rPr>
                <w:rFonts w:hint="default" w:ascii="Times New Roman" w:hAnsi="Times New Roman" w:eastAsia="方正仿宋_GBK" w:cs="Times New Roman"/>
                <w:b/>
                <w:sz w:val="21"/>
                <w:szCs w:val="21"/>
                <w:lang w:val="zh-CN"/>
              </w:rPr>
            </w:pPr>
            <w:r>
              <w:rPr>
                <w:rFonts w:hint="default" w:ascii="Times New Roman" w:hAnsi="Times New Roman" w:eastAsia="方正仿宋_GBK" w:cs="Times New Roman"/>
                <w:b/>
                <w:sz w:val="21"/>
                <w:szCs w:val="21"/>
                <w:lang w:val="zh-CN"/>
              </w:rPr>
              <w:t>分值</w:t>
            </w:r>
          </w:p>
        </w:tc>
        <w:tc>
          <w:tcPr>
            <w:tcW w:w="6197" w:type="dxa"/>
            <w:tcBorders>
              <w:top w:val="single" w:color="auto" w:sz="4" w:space="0"/>
              <w:left w:val="single" w:color="auto" w:sz="4" w:space="0"/>
              <w:bottom w:val="single" w:color="auto" w:sz="4" w:space="0"/>
              <w:right w:val="single" w:color="auto" w:sz="4" w:space="0"/>
            </w:tcBorders>
            <w:vAlign w:val="center"/>
          </w:tcPr>
          <w:p w14:paraId="40D9494A">
            <w:pPr>
              <w:pStyle w:val="5"/>
              <w:adjustRightInd w:val="0"/>
              <w:snapToGrid w:val="0"/>
              <w:spacing w:line="240" w:lineRule="auto"/>
              <w:ind w:firstLine="0" w:firstLineChars="0"/>
              <w:jc w:val="center"/>
              <w:rPr>
                <w:rFonts w:hint="default" w:ascii="Times New Roman" w:hAnsi="Times New Roman" w:eastAsia="方正仿宋_GBK" w:cs="Times New Roman"/>
                <w:b/>
                <w:sz w:val="21"/>
                <w:szCs w:val="21"/>
                <w:lang w:val="zh-CN"/>
              </w:rPr>
            </w:pPr>
            <w:r>
              <w:rPr>
                <w:rFonts w:hint="default" w:ascii="Times New Roman" w:hAnsi="Times New Roman" w:eastAsia="方正仿宋_GBK" w:cs="Times New Roman"/>
                <w:b/>
                <w:sz w:val="21"/>
                <w:szCs w:val="21"/>
                <w:lang w:val="zh-CN"/>
              </w:rPr>
              <w:t>评分标准</w:t>
            </w:r>
          </w:p>
        </w:tc>
      </w:tr>
      <w:tr w14:paraId="48B21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0D983803">
            <w:pPr>
              <w:pStyle w:val="5"/>
              <w:adjustRightInd w:val="0"/>
              <w:snapToGrid w:val="0"/>
              <w:spacing w:line="240" w:lineRule="auto"/>
              <w:ind w:firstLine="0" w:firstLineChars="0"/>
              <w:jc w:val="center"/>
              <w:rPr>
                <w:rFonts w:hint="default" w:ascii="Times New Roman" w:hAnsi="Times New Roman" w:eastAsia="方正仿宋_GBK" w:cs="Times New Roman"/>
                <w:kern w:val="2"/>
                <w:sz w:val="21"/>
                <w:szCs w:val="21"/>
                <w:lang w:val="en-US" w:eastAsia="zh-CN" w:bidi="ar-SA"/>
              </w:rPr>
            </w:pPr>
            <w:r>
              <w:rPr>
                <w:rFonts w:hint="default" w:ascii="Times New Roman" w:hAnsi="Times New Roman" w:eastAsia="方正仿宋_GBK" w:cs="Times New Roman"/>
                <w:sz w:val="21"/>
                <w:szCs w:val="21"/>
                <w:lang w:val="en-US" w:eastAsia="zh-CN"/>
              </w:rPr>
              <w:t>3</w:t>
            </w:r>
          </w:p>
        </w:tc>
        <w:tc>
          <w:tcPr>
            <w:tcW w:w="1223" w:type="dxa"/>
            <w:tcBorders>
              <w:top w:val="single" w:color="auto" w:sz="4" w:space="0"/>
              <w:left w:val="single" w:color="auto" w:sz="4" w:space="0"/>
              <w:bottom w:val="single" w:color="auto" w:sz="4" w:space="0"/>
              <w:right w:val="single" w:color="auto" w:sz="4" w:space="0"/>
            </w:tcBorders>
            <w:vAlign w:val="center"/>
          </w:tcPr>
          <w:p w14:paraId="184234BF">
            <w:pPr>
              <w:adjustRightInd w:val="0"/>
              <w:snapToGrid w:val="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rPr>
              <w:t>项目负责人</w:t>
            </w:r>
          </w:p>
        </w:tc>
        <w:tc>
          <w:tcPr>
            <w:tcW w:w="935" w:type="dxa"/>
            <w:tcBorders>
              <w:top w:val="single" w:color="auto" w:sz="4" w:space="0"/>
              <w:left w:val="single" w:color="auto" w:sz="4" w:space="0"/>
              <w:bottom w:val="single" w:color="auto" w:sz="4" w:space="0"/>
              <w:right w:val="single" w:color="auto" w:sz="4" w:space="0"/>
            </w:tcBorders>
            <w:vAlign w:val="center"/>
          </w:tcPr>
          <w:p w14:paraId="301C7731">
            <w:pPr>
              <w:pStyle w:val="5"/>
              <w:adjustRightInd w:val="0"/>
              <w:snapToGrid w:val="0"/>
              <w:spacing w:line="240" w:lineRule="auto"/>
              <w:ind w:firstLine="0" w:firstLineChars="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lang w:val="en-US" w:eastAsia="zh-CN"/>
              </w:rPr>
              <w:t>10</w:t>
            </w:r>
            <w:r>
              <w:rPr>
                <w:rFonts w:hint="default" w:ascii="Times New Roman" w:hAnsi="Times New Roman" w:eastAsia="方正仿宋_GBK" w:cs="Times New Roman"/>
                <w:bCs/>
                <w:sz w:val="21"/>
                <w:szCs w:val="21"/>
              </w:rPr>
              <w:t>分</w:t>
            </w:r>
          </w:p>
        </w:tc>
        <w:tc>
          <w:tcPr>
            <w:tcW w:w="6197" w:type="dxa"/>
            <w:tcBorders>
              <w:top w:val="single" w:color="auto" w:sz="4" w:space="0"/>
              <w:left w:val="single" w:color="auto" w:sz="4" w:space="0"/>
              <w:bottom w:val="single" w:color="auto" w:sz="4" w:space="0"/>
              <w:right w:val="single" w:color="auto" w:sz="4" w:space="0"/>
            </w:tcBorders>
            <w:vAlign w:val="center"/>
          </w:tcPr>
          <w:p w14:paraId="591F4575">
            <w:pPr>
              <w:adjustRightInd w:val="0"/>
              <w:snapToGrid w:val="0"/>
              <w:ind w:firstLine="420" w:firstLineChars="200"/>
              <w:jc w:val="left"/>
              <w:rPr>
                <w:rFonts w:hint="default" w:ascii="Times New Roman" w:hAnsi="Times New Roman" w:eastAsia="方正仿宋_GBK" w:cs="Times New Roman"/>
                <w:kern w:val="2"/>
                <w:sz w:val="21"/>
                <w:szCs w:val="21"/>
                <w:lang w:val="zh-CN" w:eastAsia="zh-CN" w:bidi="ar-SA"/>
              </w:rPr>
            </w:pPr>
            <w:r>
              <w:rPr>
                <w:rFonts w:hint="default" w:ascii="Times New Roman" w:hAnsi="Times New Roman" w:eastAsia="方正仿宋_GBK" w:cs="Times New Roman"/>
                <w:kern w:val="2"/>
                <w:sz w:val="21"/>
                <w:szCs w:val="21"/>
                <w:lang w:val="zh-CN" w:eastAsia="zh-CN" w:bidi="ar-SA"/>
              </w:rPr>
              <w:t>项目负责人具有环保或相关专业高级或以上职称的得10分，具有环保或相关专业中级职称的</w:t>
            </w:r>
            <w:r>
              <w:rPr>
                <w:rFonts w:hint="default" w:ascii="Times New Roman" w:hAnsi="Times New Roman" w:eastAsia="方正仿宋_GBK" w:cs="Times New Roman"/>
                <w:kern w:val="2"/>
                <w:sz w:val="21"/>
                <w:szCs w:val="21"/>
                <w:lang w:val="en-US" w:eastAsia="zh-CN" w:bidi="ar-SA"/>
              </w:rPr>
              <w:t>6</w:t>
            </w:r>
            <w:r>
              <w:rPr>
                <w:rFonts w:hint="default" w:ascii="Times New Roman" w:hAnsi="Times New Roman" w:eastAsia="方正仿宋_GBK" w:cs="Times New Roman"/>
                <w:kern w:val="2"/>
                <w:sz w:val="21"/>
                <w:szCs w:val="21"/>
                <w:lang w:val="zh-CN" w:eastAsia="zh-CN" w:bidi="ar-SA"/>
              </w:rPr>
              <w:t>分，其余不得分。</w:t>
            </w:r>
          </w:p>
          <w:p w14:paraId="1F3CC244">
            <w:pPr>
              <w:adjustRightInd w:val="0"/>
              <w:snapToGrid w:val="0"/>
              <w:ind w:firstLine="420" w:firstLineChars="200"/>
              <w:jc w:val="left"/>
              <w:rPr>
                <w:rFonts w:hint="default" w:ascii="Times New Roman" w:hAnsi="Times New Roman" w:eastAsia="方正仿宋_GBK" w:cs="Times New Roman"/>
                <w:kern w:val="2"/>
                <w:sz w:val="21"/>
                <w:szCs w:val="21"/>
                <w:lang w:val="zh-CN" w:eastAsia="zh-CN" w:bidi="ar-SA"/>
              </w:rPr>
            </w:pPr>
            <w:r>
              <w:rPr>
                <w:rFonts w:hint="default" w:ascii="Times New Roman" w:hAnsi="Times New Roman" w:eastAsia="方正仿宋_GBK" w:cs="Times New Roman"/>
                <w:kern w:val="2"/>
                <w:sz w:val="21"/>
                <w:szCs w:val="21"/>
                <w:lang w:val="zh-CN" w:eastAsia="zh-CN" w:bidi="ar-SA"/>
              </w:rPr>
              <w:t>注：须提供上述人员相关职称证书复印件、以及上述人员与供应商签订的劳务合同复印件或由社保机构或税务部门出具的在本项目投标截止日前6个月内任意1个月的由供应商为其购买的社保证明加盖供应商公章，无或缺项或未按要求递交证明材料的不得分。</w:t>
            </w:r>
          </w:p>
        </w:tc>
      </w:tr>
      <w:tr w14:paraId="441D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5871B516">
            <w:pPr>
              <w:pStyle w:val="5"/>
              <w:adjustRightInd w:val="0"/>
              <w:snapToGrid w:val="0"/>
              <w:spacing w:line="240" w:lineRule="auto"/>
              <w:ind w:firstLine="0" w:firstLineChars="0"/>
              <w:jc w:val="center"/>
              <w:rPr>
                <w:rFonts w:hint="default" w:ascii="Times New Roman" w:hAnsi="Times New Roman" w:eastAsia="方正仿宋_GBK" w:cs="Times New Roman"/>
                <w:kern w:val="2"/>
                <w:sz w:val="21"/>
                <w:szCs w:val="21"/>
                <w:lang w:val="en-US" w:eastAsia="zh-CN" w:bidi="ar-SA"/>
              </w:rPr>
            </w:pPr>
            <w:r>
              <w:rPr>
                <w:rFonts w:hint="default" w:ascii="Times New Roman" w:hAnsi="Times New Roman" w:eastAsia="方正仿宋_GBK" w:cs="Times New Roman"/>
                <w:sz w:val="21"/>
                <w:szCs w:val="21"/>
                <w:lang w:val="en-US" w:eastAsia="zh-CN"/>
              </w:rPr>
              <w:t>4</w:t>
            </w:r>
          </w:p>
        </w:tc>
        <w:tc>
          <w:tcPr>
            <w:tcW w:w="1223" w:type="dxa"/>
            <w:tcBorders>
              <w:top w:val="single" w:color="auto" w:sz="4" w:space="0"/>
              <w:left w:val="single" w:color="auto" w:sz="4" w:space="0"/>
              <w:bottom w:val="single" w:color="auto" w:sz="4" w:space="0"/>
              <w:right w:val="single" w:color="auto" w:sz="4" w:space="0"/>
            </w:tcBorders>
            <w:vAlign w:val="center"/>
          </w:tcPr>
          <w:p w14:paraId="19326ED4">
            <w:pPr>
              <w:adjustRightInd w:val="0"/>
              <w:snapToGrid w:val="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rPr>
              <w:t>团队技术力量</w:t>
            </w:r>
          </w:p>
        </w:tc>
        <w:tc>
          <w:tcPr>
            <w:tcW w:w="935" w:type="dxa"/>
            <w:tcBorders>
              <w:top w:val="single" w:color="auto" w:sz="4" w:space="0"/>
              <w:left w:val="single" w:color="auto" w:sz="4" w:space="0"/>
              <w:bottom w:val="single" w:color="auto" w:sz="4" w:space="0"/>
              <w:right w:val="single" w:color="auto" w:sz="4" w:space="0"/>
            </w:tcBorders>
            <w:vAlign w:val="center"/>
          </w:tcPr>
          <w:p w14:paraId="00BECE9F">
            <w:pPr>
              <w:adjustRightInd w:val="0"/>
              <w:snapToGrid w:val="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lang w:val="en-US" w:eastAsia="zh-CN"/>
              </w:rPr>
              <w:t>15</w:t>
            </w:r>
            <w:r>
              <w:rPr>
                <w:rFonts w:hint="default" w:ascii="Times New Roman" w:hAnsi="Times New Roman" w:eastAsia="方正仿宋_GBK" w:cs="Times New Roman"/>
                <w:bCs/>
                <w:sz w:val="21"/>
                <w:szCs w:val="21"/>
              </w:rPr>
              <w:t>分</w:t>
            </w:r>
          </w:p>
        </w:tc>
        <w:tc>
          <w:tcPr>
            <w:tcW w:w="6197" w:type="dxa"/>
            <w:tcBorders>
              <w:top w:val="single" w:color="auto" w:sz="4" w:space="0"/>
              <w:left w:val="single" w:color="auto" w:sz="4" w:space="0"/>
              <w:bottom w:val="single" w:color="auto" w:sz="4" w:space="0"/>
              <w:right w:val="single" w:color="auto" w:sz="4" w:space="0"/>
            </w:tcBorders>
            <w:vAlign w:val="top"/>
          </w:tcPr>
          <w:p w14:paraId="1B372923">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420" w:firstLineChars="200"/>
              <w:jc w:val="left"/>
              <w:textAlignment w:val="auto"/>
              <w:outlineLvl w:val="9"/>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i w:val="0"/>
                <w:iCs w:val="0"/>
                <w:color w:val="000000"/>
                <w:kern w:val="0"/>
                <w:sz w:val="21"/>
                <w:szCs w:val="21"/>
                <w:u w:val="none"/>
                <w:lang w:val="en-US" w:eastAsia="zh-CN" w:bidi="ar"/>
              </w:rPr>
              <w:t>供应商拟投入项目人员（不含项目负责人）</w:t>
            </w:r>
            <w:r>
              <w:rPr>
                <w:rFonts w:hint="default" w:ascii="Times New Roman" w:hAnsi="Times New Roman" w:eastAsia="方正仿宋_GBK" w:cs="Times New Roman"/>
                <w:bCs/>
                <w:kern w:val="2"/>
                <w:sz w:val="21"/>
                <w:szCs w:val="21"/>
                <w:lang w:val="en-US" w:eastAsia="zh-CN" w:bidi="ar-SA"/>
              </w:rPr>
              <w:t>具有环保或相关专业高级技术职称的，每提供一个得6分；具有环保或相关专业中级技术职称的，每提供一个得3分。本项最多计算4人，最高得15分。</w:t>
            </w:r>
          </w:p>
          <w:p w14:paraId="446C9C2A">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420" w:firstLineChars="200"/>
              <w:jc w:val="left"/>
              <w:textAlignment w:val="auto"/>
              <w:outlineLvl w:val="9"/>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kern w:val="2"/>
                <w:sz w:val="21"/>
                <w:szCs w:val="21"/>
                <w:lang w:val="en-US" w:eastAsia="zh-CN" w:bidi="ar-SA"/>
              </w:rPr>
              <w:t>注：须提供上述人员相关职称证书复印件、以及上述人员与供应商签订的劳务合同复印件或由社保机构或税务部门出具的在本项目投标截止日前6个月内任意1个月的由供应商为其购买的社保证明加盖供应商公章，无或缺项或未按要求递交证明材料的不得分。</w:t>
            </w:r>
          </w:p>
        </w:tc>
      </w:tr>
      <w:tr w14:paraId="0F4F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48D9A8F2">
            <w:pPr>
              <w:pStyle w:val="5"/>
              <w:adjustRightInd w:val="0"/>
              <w:snapToGrid w:val="0"/>
              <w:spacing w:line="240" w:lineRule="auto"/>
              <w:ind w:firstLine="0" w:firstLineChars="0"/>
              <w:jc w:val="center"/>
              <w:rPr>
                <w:rFonts w:hint="default" w:ascii="Times New Roman" w:hAnsi="Times New Roman" w:eastAsia="方正仿宋_GBK" w:cs="Times New Roman"/>
                <w:kern w:val="2"/>
                <w:sz w:val="21"/>
                <w:szCs w:val="21"/>
                <w:lang w:val="en-US" w:eastAsia="zh-CN" w:bidi="ar-SA"/>
              </w:rPr>
            </w:pPr>
            <w:r>
              <w:rPr>
                <w:rFonts w:hint="default" w:ascii="Times New Roman" w:hAnsi="Times New Roman" w:eastAsia="方正仿宋_GBK" w:cs="Times New Roman"/>
                <w:sz w:val="21"/>
                <w:szCs w:val="21"/>
                <w:lang w:val="en-US" w:eastAsia="zh-CN"/>
              </w:rPr>
              <w:t>5</w:t>
            </w:r>
          </w:p>
        </w:tc>
        <w:tc>
          <w:tcPr>
            <w:tcW w:w="1223" w:type="dxa"/>
            <w:tcBorders>
              <w:top w:val="single" w:color="auto" w:sz="4" w:space="0"/>
              <w:left w:val="single" w:color="auto" w:sz="4" w:space="0"/>
              <w:bottom w:val="single" w:color="auto" w:sz="4" w:space="0"/>
              <w:right w:val="single" w:color="auto" w:sz="4" w:space="0"/>
            </w:tcBorders>
            <w:vAlign w:val="center"/>
          </w:tcPr>
          <w:p w14:paraId="137650D7">
            <w:pPr>
              <w:adjustRightInd w:val="0"/>
              <w:snapToGrid w:val="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lang w:val="zh-CN"/>
              </w:rPr>
              <w:t>供应商资质及综合状况</w:t>
            </w:r>
          </w:p>
        </w:tc>
        <w:tc>
          <w:tcPr>
            <w:tcW w:w="935" w:type="dxa"/>
            <w:tcBorders>
              <w:top w:val="single" w:color="auto" w:sz="4" w:space="0"/>
              <w:left w:val="single" w:color="auto" w:sz="4" w:space="0"/>
              <w:bottom w:val="single" w:color="auto" w:sz="4" w:space="0"/>
              <w:right w:val="single" w:color="auto" w:sz="4" w:space="0"/>
            </w:tcBorders>
            <w:vAlign w:val="center"/>
          </w:tcPr>
          <w:p w14:paraId="124364AE">
            <w:pPr>
              <w:adjustRightInd w:val="0"/>
              <w:snapToGrid w:val="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lang w:val="en-US" w:eastAsia="zh-CN"/>
              </w:rPr>
              <w:t>9</w:t>
            </w:r>
            <w:r>
              <w:rPr>
                <w:rFonts w:hint="default" w:ascii="Times New Roman" w:hAnsi="Times New Roman" w:eastAsia="方正仿宋_GBK" w:cs="Times New Roman"/>
                <w:bCs/>
                <w:sz w:val="21"/>
                <w:szCs w:val="21"/>
              </w:rPr>
              <w:t>分</w:t>
            </w:r>
          </w:p>
        </w:tc>
        <w:tc>
          <w:tcPr>
            <w:tcW w:w="6197" w:type="dxa"/>
            <w:tcBorders>
              <w:top w:val="single" w:color="auto" w:sz="4" w:space="0"/>
              <w:left w:val="single" w:color="auto" w:sz="4" w:space="0"/>
              <w:bottom w:val="single" w:color="auto" w:sz="4" w:space="0"/>
              <w:right w:val="single" w:color="auto" w:sz="4" w:space="0"/>
            </w:tcBorders>
            <w:vAlign w:val="top"/>
          </w:tcPr>
          <w:p w14:paraId="4DD6D19C">
            <w:pPr>
              <w:adjustRightInd w:val="0"/>
              <w:snapToGrid w:val="0"/>
              <w:ind w:firstLine="420" w:firstLineChars="200"/>
              <w:jc w:val="left"/>
              <w:rPr>
                <w:rFonts w:hint="default" w:ascii="Times New Roman" w:hAnsi="Times New Roman" w:eastAsia="方正仿宋_GBK" w:cs="Times New Roman"/>
                <w:bCs/>
                <w:sz w:val="21"/>
                <w:szCs w:val="21"/>
                <w:lang w:val="zh-CN"/>
              </w:rPr>
            </w:pPr>
            <w:r>
              <w:rPr>
                <w:rFonts w:hint="default" w:ascii="Times New Roman" w:hAnsi="Times New Roman" w:eastAsia="方正仿宋_GBK" w:cs="Times New Roman"/>
                <w:bCs/>
                <w:sz w:val="21"/>
                <w:szCs w:val="21"/>
                <w:lang w:val="zh-CN"/>
              </w:rPr>
              <w:t>供应商具有检验检测机构资质认定证书（CMA）、ISO</w:t>
            </w:r>
            <w:r>
              <w:rPr>
                <w:rFonts w:hint="default" w:ascii="Times New Roman" w:hAnsi="Times New Roman" w:eastAsia="方正仿宋_GBK" w:cs="Times New Roman"/>
                <w:bCs/>
                <w:sz w:val="21"/>
                <w:szCs w:val="21"/>
                <w:lang w:val="en-US" w:eastAsia="zh-CN"/>
              </w:rPr>
              <w:t>-</w:t>
            </w:r>
            <w:r>
              <w:rPr>
                <w:rFonts w:hint="default" w:ascii="Times New Roman" w:hAnsi="Times New Roman" w:eastAsia="方正仿宋_GBK" w:cs="Times New Roman"/>
                <w:bCs/>
                <w:sz w:val="21"/>
                <w:szCs w:val="21"/>
                <w:lang w:val="zh-CN"/>
              </w:rPr>
              <w:t>9001质量管理体系认证证书（</w:t>
            </w:r>
            <w:r>
              <w:rPr>
                <w:rFonts w:hint="default" w:ascii="Times New Roman" w:hAnsi="Times New Roman" w:eastAsia="方正仿宋_GBK" w:cs="Times New Roman"/>
                <w:bCs/>
                <w:sz w:val="21"/>
                <w:szCs w:val="21"/>
                <w:lang w:val="en-US" w:eastAsia="zh-CN"/>
              </w:rPr>
              <w:t>体系覆盖</w:t>
            </w:r>
            <w:r>
              <w:rPr>
                <w:rFonts w:hint="default" w:ascii="Times New Roman" w:hAnsi="Times New Roman" w:eastAsia="方正仿宋_GBK" w:cs="Times New Roman"/>
                <w:bCs/>
                <w:sz w:val="21"/>
                <w:szCs w:val="21"/>
                <w:lang w:val="zh-CN"/>
              </w:rPr>
              <w:t>范围：环境技术咨询）、ISO</w:t>
            </w:r>
            <w:r>
              <w:rPr>
                <w:rFonts w:hint="default" w:ascii="Times New Roman" w:hAnsi="Times New Roman" w:eastAsia="方正仿宋_GBK" w:cs="Times New Roman"/>
                <w:bCs/>
                <w:sz w:val="21"/>
                <w:szCs w:val="21"/>
                <w:lang w:val="zh-CN" w:eastAsia="zh-CN"/>
              </w:rPr>
              <w:t>-</w:t>
            </w:r>
            <w:r>
              <w:rPr>
                <w:rFonts w:hint="default" w:ascii="Times New Roman" w:hAnsi="Times New Roman" w:eastAsia="方正仿宋_GBK" w:cs="Times New Roman"/>
                <w:bCs/>
                <w:sz w:val="21"/>
                <w:szCs w:val="21"/>
                <w:lang w:val="en-US" w:eastAsia="zh-CN"/>
              </w:rPr>
              <w:t>14001环境</w:t>
            </w:r>
            <w:r>
              <w:rPr>
                <w:rFonts w:hint="default" w:ascii="Times New Roman" w:hAnsi="Times New Roman" w:eastAsia="方正仿宋_GBK" w:cs="Times New Roman"/>
                <w:bCs/>
                <w:sz w:val="21"/>
                <w:szCs w:val="21"/>
                <w:lang w:val="zh-CN"/>
              </w:rPr>
              <w:t>管理体系认证证书（</w:t>
            </w:r>
            <w:r>
              <w:rPr>
                <w:rFonts w:hint="default" w:ascii="Times New Roman" w:hAnsi="Times New Roman" w:eastAsia="方正仿宋_GBK" w:cs="Times New Roman"/>
                <w:bCs/>
                <w:sz w:val="21"/>
                <w:szCs w:val="21"/>
                <w:lang w:val="en-US" w:eastAsia="zh-CN"/>
              </w:rPr>
              <w:t>环境管理</w:t>
            </w:r>
            <w:r>
              <w:rPr>
                <w:rFonts w:hint="default" w:ascii="Times New Roman" w:hAnsi="Times New Roman" w:eastAsia="方正仿宋_GBK" w:cs="Times New Roman"/>
                <w:bCs/>
                <w:sz w:val="21"/>
                <w:szCs w:val="21"/>
                <w:lang w:val="zh-CN" w:eastAsia="zh-CN"/>
              </w:rPr>
              <w:t>体系覆盖</w:t>
            </w:r>
            <w:r>
              <w:rPr>
                <w:rFonts w:hint="default" w:ascii="Times New Roman" w:hAnsi="Times New Roman" w:eastAsia="方正仿宋_GBK" w:cs="Times New Roman"/>
                <w:bCs/>
                <w:sz w:val="21"/>
                <w:szCs w:val="21"/>
                <w:lang w:val="zh-CN"/>
              </w:rPr>
              <w:t>范围：环境技术咨询所涉及的环境管理活动）的，每提供一项得3分，本项满分</w:t>
            </w:r>
            <w:r>
              <w:rPr>
                <w:rFonts w:hint="default" w:ascii="Times New Roman" w:hAnsi="Times New Roman" w:eastAsia="方正仿宋_GBK" w:cs="Times New Roman"/>
                <w:bCs/>
                <w:sz w:val="21"/>
                <w:szCs w:val="21"/>
                <w:lang w:val="en-US" w:eastAsia="zh-CN"/>
              </w:rPr>
              <w:t>9分</w:t>
            </w:r>
            <w:r>
              <w:rPr>
                <w:rFonts w:hint="default" w:ascii="Times New Roman" w:hAnsi="Times New Roman" w:eastAsia="方正仿宋_GBK" w:cs="Times New Roman"/>
                <w:bCs/>
                <w:sz w:val="21"/>
                <w:szCs w:val="21"/>
                <w:lang w:val="zh-CN"/>
              </w:rPr>
              <w:t>。</w:t>
            </w:r>
          </w:p>
          <w:p w14:paraId="61BB8EDE">
            <w:pPr>
              <w:adjustRightInd w:val="0"/>
              <w:snapToGrid w:val="0"/>
              <w:ind w:firstLine="420" w:firstLineChars="200"/>
              <w:jc w:val="left"/>
              <w:rPr>
                <w:rFonts w:hint="default" w:ascii="Times New Roman" w:hAnsi="Times New Roman" w:eastAsia="方正仿宋_GBK" w:cs="Times New Roman"/>
                <w:bCs/>
                <w:kern w:val="2"/>
                <w:sz w:val="21"/>
                <w:szCs w:val="21"/>
                <w:lang w:val="zh-CN" w:eastAsia="zh-CN" w:bidi="ar-SA"/>
              </w:rPr>
            </w:pPr>
            <w:r>
              <w:rPr>
                <w:rFonts w:hint="default" w:ascii="Times New Roman" w:hAnsi="Times New Roman" w:eastAsia="方正仿宋_GBK" w:cs="Times New Roman"/>
                <w:bCs/>
                <w:sz w:val="21"/>
                <w:szCs w:val="21"/>
                <w:lang w:val="zh-CN"/>
              </w:rPr>
              <w:t>注：上述</w:t>
            </w:r>
            <w:r>
              <w:rPr>
                <w:rFonts w:hint="default" w:ascii="Times New Roman" w:hAnsi="Times New Roman" w:eastAsia="方正仿宋_GBK" w:cs="Times New Roman"/>
                <w:bCs/>
                <w:sz w:val="21"/>
                <w:szCs w:val="21"/>
                <w:lang w:val="en-US" w:eastAsia="zh-CN"/>
              </w:rPr>
              <w:t>证书</w:t>
            </w:r>
            <w:r>
              <w:rPr>
                <w:rFonts w:hint="default" w:ascii="Times New Roman" w:hAnsi="Times New Roman" w:eastAsia="方正仿宋_GBK" w:cs="Times New Roman"/>
                <w:bCs/>
                <w:sz w:val="21"/>
                <w:szCs w:val="21"/>
                <w:lang w:val="zh-CN"/>
              </w:rPr>
              <w:t>应在有效期内，提供复印件</w:t>
            </w:r>
            <w:r>
              <w:rPr>
                <w:rFonts w:hint="default" w:ascii="Times New Roman" w:hAnsi="Times New Roman" w:eastAsia="方正仿宋_GBK" w:cs="Times New Roman"/>
                <w:bCs/>
                <w:sz w:val="21"/>
                <w:szCs w:val="21"/>
                <w:lang w:val="en-US" w:eastAsia="zh-CN"/>
              </w:rPr>
              <w:t>并</w:t>
            </w:r>
            <w:r>
              <w:rPr>
                <w:rFonts w:hint="default" w:ascii="Times New Roman" w:hAnsi="Times New Roman" w:eastAsia="方正仿宋_GBK" w:cs="Times New Roman"/>
                <w:bCs/>
                <w:sz w:val="21"/>
                <w:szCs w:val="21"/>
                <w:lang w:val="zh-CN"/>
              </w:rPr>
              <w:t>加盖公章。</w:t>
            </w:r>
            <w:r>
              <w:rPr>
                <w:rFonts w:hint="default" w:ascii="Times New Roman" w:hAnsi="Times New Roman" w:eastAsia="方正仿宋_GBK" w:cs="Times New Roman"/>
                <w:sz w:val="21"/>
                <w:szCs w:val="21"/>
                <w:lang w:eastAsia="zh-CN"/>
              </w:rPr>
              <w:t>未按要求提供不得分。</w:t>
            </w:r>
          </w:p>
        </w:tc>
      </w:tr>
      <w:tr w14:paraId="046D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0D08CE79">
            <w:pPr>
              <w:pStyle w:val="5"/>
              <w:adjustRightInd w:val="0"/>
              <w:snapToGrid w:val="0"/>
              <w:spacing w:line="240" w:lineRule="auto"/>
              <w:ind w:firstLine="0" w:firstLineChars="0"/>
              <w:jc w:val="center"/>
              <w:rPr>
                <w:rFonts w:hint="default" w:ascii="Times New Roman" w:hAnsi="Times New Roman" w:eastAsia="方正仿宋_GBK" w:cs="Times New Roman"/>
                <w:kern w:val="2"/>
                <w:sz w:val="21"/>
                <w:szCs w:val="21"/>
                <w:lang w:val="en-US" w:eastAsia="zh-CN" w:bidi="ar-SA"/>
              </w:rPr>
            </w:pPr>
            <w:r>
              <w:rPr>
                <w:rFonts w:hint="default" w:ascii="Times New Roman" w:hAnsi="Times New Roman" w:eastAsia="方正仿宋_GBK" w:cs="Times New Roman"/>
                <w:sz w:val="21"/>
                <w:szCs w:val="21"/>
                <w:lang w:val="en-US" w:eastAsia="zh-CN"/>
              </w:rPr>
              <w:t>6</w:t>
            </w:r>
          </w:p>
        </w:tc>
        <w:tc>
          <w:tcPr>
            <w:tcW w:w="1223" w:type="dxa"/>
            <w:tcBorders>
              <w:top w:val="single" w:color="auto" w:sz="4" w:space="0"/>
              <w:left w:val="single" w:color="auto" w:sz="4" w:space="0"/>
              <w:bottom w:val="single" w:color="auto" w:sz="4" w:space="0"/>
              <w:right w:val="single" w:color="auto" w:sz="4" w:space="0"/>
            </w:tcBorders>
            <w:vAlign w:val="center"/>
          </w:tcPr>
          <w:p w14:paraId="49E568D0">
            <w:pPr>
              <w:adjustRightInd w:val="0"/>
              <w:snapToGrid w:val="0"/>
              <w:jc w:val="center"/>
              <w:rPr>
                <w:rFonts w:hint="default" w:ascii="Times New Roman" w:hAnsi="Times New Roman" w:eastAsia="方正仿宋_GBK" w:cs="Times New Roman"/>
                <w:bCs/>
                <w:kern w:val="2"/>
                <w:sz w:val="21"/>
                <w:szCs w:val="21"/>
                <w:lang w:val="zh-CN" w:eastAsia="zh-CN" w:bidi="ar-SA"/>
              </w:rPr>
            </w:pPr>
            <w:r>
              <w:rPr>
                <w:rFonts w:hint="default" w:ascii="Times New Roman" w:hAnsi="Times New Roman" w:eastAsia="方正仿宋_GBK" w:cs="Times New Roman"/>
                <w:bCs/>
                <w:sz w:val="21"/>
                <w:szCs w:val="21"/>
                <w:lang w:val="zh-CN"/>
              </w:rPr>
              <w:t>相关业绩</w:t>
            </w:r>
          </w:p>
        </w:tc>
        <w:tc>
          <w:tcPr>
            <w:tcW w:w="935" w:type="dxa"/>
            <w:tcBorders>
              <w:top w:val="single" w:color="auto" w:sz="4" w:space="0"/>
              <w:left w:val="single" w:color="auto" w:sz="4" w:space="0"/>
              <w:bottom w:val="single" w:color="auto" w:sz="4" w:space="0"/>
              <w:right w:val="single" w:color="auto" w:sz="4" w:space="0"/>
            </w:tcBorders>
            <w:vAlign w:val="center"/>
          </w:tcPr>
          <w:p w14:paraId="1FD2D16D">
            <w:pPr>
              <w:pStyle w:val="5"/>
              <w:adjustRightInd w:val="0"/>
              <w:snapToGrid w:val="0"/>
              <w:spacing w:line="240" w:lineRule="auto"/>
              <w:ind w:firstLine="0" w:firstLineChars="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lang w:val="en-US" w:eastAsia="zh-CN"/>
              </w:rPr>
              <w:t>16</w:t>
            </w:r>
            <w:r>
              <w:rPr>
                <w:rFonts w:hint="default" w:ascii="Times New Roman" w:hAnsi="Times New Roman" w:eastAsia="方正仿宋_GBK" w:cs="Times New Roman"/>
                <w:bCs/>
                <w:sz w:val="21"/>
                <w:szCs w:val="21"/>
                <w:lang w:val="zh-CN"/>
              </w:rPr>
              <w:t>分</w:t>
            </w:r>
          </w:p>
        </w:tc>
        <w:tc>
          <w:tcPr>
            <w:tcW w:w="6197" w:type="dxa"/>
            <w:tcBorders>
              <w:top w:val="single" w:color="auto" w:sz="4" w:space="0"/>
              <w:left w:val="single" w:color="auto" w:sz="4" w:space="0"/>
              <w:bottom w:val="single" w:color="auto" w:sz="4" w:space="0"/>
              <w:right w:val="single" w:color="auto" w:sz="4" w:space="0"/>
            </w:tcBorders>
            <w:vAlign w:val="center"/>
          </w:tcPr>
          <w:p w14:paraId="08C188FA">
            <w:pPr>
              <w:adjustRightInd w:val="0"/>
              <w:snapToGrid w:val="0"/>
              <w:ind w:firstLine="420" w:firstLineChars="200"/>
              <w:jc w:val="left"/>
              <w:rPr>
                <w:rFonts w:hint="default" w:ascii="Times New Roman" w:hAnsi="Times New Roman" w:eastAsia="方正仿宋_GBK" w:cs="Times New Roman"/>
                <w:bCs/>
                <w:sz w:val="21"/>
                <w:szCs w:val="21"/>
                <w:lang w:val="zh-CN"/>
              </w:rPr>
            </w:pPr>
            <w:r>
              <w:rPr>
                <w:rFonts w:hint="default" w:ascii="Times New Roman" w:hAnsi="Times New Roman" w:eastAsia="方正仿宋_GBK" w:cs="Times New Roman"/>
                <w:bCs/>
                <w:sz w:val="21"/>
                <w:szCs w:val="21"/>
                <w:lang w:val="zh-CN"/>
              </w:rPr>
              <w:t>投标人近三年以来，以供应商名义承接的机动车排气检验机构环保检验能力验证、移动源污染防治</w:t>
            </w:r>
            <w:r>
              <w:rPr>
                <w:rFonts w:hint="default" w:ascii="Times New Roman" w:hAnsi="Times New Roman" w:eastAsia="方正仿宋_GBK" w:cs="Times New Roman"/>
                <w:bCs/>
                <w:sz w:val="21"/>
                <w:szCs w:val="21"/>
                <w:lang w:val="en-US" w:eastAsia="zh-CN"/>
              </w:rPr>
              <w:t>或交通源排放特征分析等相关的</w:t>
            </w:r>
            <w:r>
              <w:rPr>
                <w:rFonts w:hint="default" w:ascii="Times New Roman" w:hAnsi="Times New Roman" w:eastAsia="方正仿宋_GBK" w:cs="Times New Roman"/>
                <w:bCs/>
                <w:sz w:val="21"/>
                <w:szCs w:val="21"/>
                <w:lang w:val="zh-CN"/>
              </w:rPr>
              <w:t>咨询服务，每提供一项得</w:t>
            </w:r>
            <w:r>
              <w:rPr>
                <w:rFonts w:hint="default" w:ascii="Times New Roman" w:hAnsi="Times New Roman" w:eastAsia="方正仿宋_GBK" w:cs="Times New Roman"/>
                <w:bCs/>
                <w:sz w:val="21"/>
                <w:szCs w:val="21"/>
                <w:lang w:val="en-US" w:eastAsia="zh-CN"/>
              </w:rPr>
              <w:t>4</w:t>
            </w:r>
            <w:r>
              <w:rPr>
                <w:rFonts w:hint="default" w:ascii="Times New Roman" w:hAnsi="Times New Roman" w:eastAsia="方正仿宋_GBK" w:cs="Times New Roman"/>
                <w:bCs/>
                <w:sz w:val="21"/>
                <w:szCs w:val="21"/>
                <w:lang w:val="zh-CN"/>
              </w:rPr>
              <w:t>分，本项满分</w:t>
            </w:r>
            <w:r>
              <w:rPr>
                <w:rFonts w:hint="default" w:ascii="Times New Roman" w:hAnsi="Times New Roman" w:eastAsia="方正仿宋_GBK" w:cs="Times New Roman"/>
                <w:bCs/>
                <w:sz w:val="21"/>
                <w:szCs w:val="21"/>
                <w:lang w:val="en-US" w:eastAsia="zh-CN"/>
              </w:rPr>
              <w:t>16</w:t>
            </w:r>
            <w:r>
              <w:rPr>
                <w:rFonts w:hint="default" w:ascii="Times New Roman" w:hAnsi="Times New Roman" w:eastAsia="方正仿宋_GBK" w:cs="Times New Roman"/>
                <w:bCs/>
                <w:sz w:val="21"/>
                <w:szCs w:val="21"/>
                <w:lang w:val="zh-CN"/>
              </w:rPr>
              <w:t>分。</w:t>
            </w:r>
          </w:p>
          <w:p w14:paraId="539734E8">
            <w:pPr>
              <w:adjustRightInd w:val="0"/>
              <w:snapToGrid w:val="0"/>
              <w:ind w:firstLine="420" w:firstLineChars="200"/>
              <w:jc w:val="left"/>
              <w:rPr>
                <w:rFonts w:hint="default" w:ascii="Times New Roman" w:hAnsi="Times New Roman" w:eastAsia="方正仿宋_GBK" w:cs="Times New Roman"/>
                <w:bCs/>
                <w:kern w:val="2"/>
                <w:sz w:val="21"/>
                <w:szCs w:val="21"/>
                <w:lang w:val="zh-CN" w:eastAsia="zh-CN" w:bidi="ar-SA"/>
              </w:rPr>
            </w:pPr>
            <w:r>
              <w:rPr>
                <w:rFonts w:hint="default" w:ascii="Times New Roman" w:hAnsi="Times New Roman" w:eastAsia="方正仿宋_GBK" w:cs="Times New Roman"/>
                <w:kern w:val="0"/>
                <w:sz w:val="21"/>
                <w:szCs w:val="21"/>
                <w:lang w:val="en"/>
              </w:rPr>
              <w:t>注：须提供合同关键页及中标通知书扫描件，业绩不得重复计分，子公司或其他分公司的业绩不计算在内</w:t>
            </w:r>
            <w:r>
              <w:rPr>
                <w:rFonts w:hint="default" w:ascii="Times New Roman" w:hAnsi="Times New Roman" w:eastAsia="方正仿宋_GBK" w:cs="Times New Roman"/>
                <w:sz w:val="21"/>
                <w:szCs w:val="21"/>
              </w:rPr>
              <w:t>。</w:t>
            </w:r>
            <w:r>
              <w:rPr>
                <w:rFonts w:hint="default" w:ascii="Times New Roman" w:hAnsi="Times New Roman" w:eastAsia="方正仿宋_GBK" w:cs="Times New Roman"/>
                <w:sz w:val="21"/>
                <w:szCs w:val="21"/>
                <w:lang w:eastAsia="zh-CN"/>
              </w:rPr>
              <w:t>未按要求提供不得分。</w:t>
            </w:r>
          </w:p>
        </w:tc>
      </w:tr>
      <w:tr w14:paraId="4A5D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9060" w:type="dxa"/>
            <w:gridSpan w:val="4"/>
            <w:tcBorders>
              <w:top w:val="single" w:color="auto" w:sz="4" w:space="0"/>
              <w:left w:val="single" w:color="auto" w:sz="4" w:space="0"/>
              <w:bottom w:val="single" w:color="auto" w:sz="4" w:space="0"/>
              <w:right w:val="single" w:color="auto" w:sz="4" w:space="0"/>
            </w:tcBorders>
            <w:vAlign w:val="center"/>
          </w:tcPr>
          <w:p w14:paraId="688D0AD3">
            <w:pPr>
              <w:adjustRightInd w:val="0"/>
              <w:snapToGrid w:val="0"/>
              <w:jc w:val="center"/>
              <w:rPr>
                <w:rFonts w:hint="default" w:ascii="Times New Roman" w:hAnsi="Times New Roman" w:eastAsia="方正仿宋_GBK" w:cs="Times New Roman"/>
                <w:bCs/>
                <w:sz w:val="21"/>
                <w:szCs w:val="21"/>
              </w:rPr>
            </w:pPr>
            <w:r>
              <w:rPr>
                <w:rFonts w:hint="default" w:ascii="Times New Roman" w:hAnsi="Times New Roman" w:eastAsia="方正仿宋_GBK" w:cs="Times New Roman"/>
                <w:b/>
                <w:sz w:val="21"/>
                <w:szCs w:val="21"/>
                <w:lang w:eastAsia="zh-CN"/>
              </w:rPr>
              <w:t>报价得分</w:t>
            </w:r>
          </w:p>
        </w:tc>
      </w:tr>
      <w:tr w14:paraId="1E192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112760F3">
            <w:pPr>
              <w:pStyle w:val="5"/>
              <w:adjustRightInd w:val="0"/>
              <w:snapToGrid w:val="0"/>
              <w:spacing w:line="240" w:lineRule="auto"/>
              <w:ind w:firstLine="0" w:firstLineChars="0"/>
              <w:jc w:val="center"/>
              <w:rPr>
                <w:rFonts w:hint="default" w:ascii="Times New Roman" w:hAnsi="Times New Roman" w:eastAsia="方正仿宋_GBK" w:cs="Times New Roman"/>
                <w:b/>
                <w:sz w:val="21"/>
                <w:szCs w:val="21"/>
              </w:rPr>
            </w:pPr>
            <w:r>
              <w:rPr>
                <w:rFonts w:hint="default" w:ascii="Times New Roman" w:hAnsi="Times New Roman" w:eastAsia="方正仿宋_GBK" w:cs="Times New Roman"/>
                <w:b/>
                <w:sz w:val="21"/>
                <w:szCs w:val="21"/>
              </w:rPr>
              <w:t>序号</w:t>
            </w:r>
          </w:p>
        </w:tc>
        <w:tc>
          <w:tcPr>
            <w:tcW w:w="1223" w:type="dxa"/>
            <w:tcBorders>
              <w:top w:val="single" w:color="auto" w:sz="4" w:space="0"/>
              <w:left w:val="single" w:color="auto" w:sz="4" w:space="0"/>
              <w:bottom w:val="single" w:color="auto" w:sz="4" w:space="0"/>
              <w:right w:val="single" w:color="auto" w:sz="4" w:space="0"/>
            </w:tcBorders>
            <w:vAlign w:val="center"/>
          </w:tcPr>
          <w:p w14:paraId="1ED7B2FE">
            <w:pPr>
              <w:pStyle w:val="5"/>
              <w:adjustRightInd w:val="0"/>
              <w:snapToGrid w:val="0"/>
              <w:spacing w:line="240" w:lineRule="auto"/>
              <w:ind w:firstLine="0" w:firstLineChars="0"/>
              <w:jc w:val="center"/>
              <w:rPr>
                <w:rFonts w:hint="default" w:ascii="Times New Roman" w:hAnsi="Times New Roman" w:eastAsia="方正仿宋_GBK" w:cs="Times New Roman"/>
                <w:b/>
                <w:sz w:val="21"/>
                <w:szCs w:val="21"/>
              </w:rPr>
            </w:pPr>
            <w:r>
              <w:rPr>
                <w:rFonts w:hint="default" w:ascii="Times New Roman" w:hAnsi="Times New Roman" w:eastAsia="方正仿宋_GBK" w:cs="Times New Roman"/>
                <w:b/>
                <w:sz w:val="21"/>
                <w:szCs w:val="21"/>
              </w:rPr>
              <w:t>评分内容</w:t>
            </w:r>
          </w:p>
        </w:tc>
        <w:tc>
          <w:tcPr>
            <w:tcW w:w="935" w:type="dxa"/>
            <w:tcBorders>
              <w:top w:val="single" w:color="auto" w:sz="4" w:space="0"/>
              <w:left w:val="single" w:color="auto" w:sz="4" w:space="0"/>
              <w:bottom w:val="single" w:color="auto" w:sz="4" w:space="0"/>
              <w:right w:val="single" w:color="auto" w:sz="4" w:space="0"/>
            </w:tcBorders>
            <w:vAlign w:val="center"/>
          </w:tcPr>
          <w:p w14:paraId="678C1A7A">
            <w:pPr>
              <w:pStyle w:val="5"/>
              <w:adjustRightInd w:val="0"/>
              <w:snapToGrid w:val="0"/>
              <w:spacing w:line="240" w:lineRule="auto"/>
              <w:ind w:firstLine="0" w:firstLineChars="0"/>
              <w:jc w:val="center"/>
              <w:rPr>
                <w:rFonts w:hint="default" w:ascii="Times New Roman" w:hAnsi="Times New Roman" w:eastAsia="方正仿宋_GBK" w:cs="Times New Roman"/>
                <w:b/>
                <w:sz w:val="21"/>
                <w:szCs w:val="21"/>
              </w:rPr>
            </w:pPr>
            <w:r>
              <w:rPr>
                <w:rFonts w:hint="default" w:ascii="Times New Roman" w:hAnsi="Times New Roman" w:eastAsia="方正仿宋_GBK" w:cs="Times New Roman"/>
                <w:b/>
                <w:sz w:val="21"/>
                <w:szCs w:val="21"/>
              </w:rPr>
              <w:t>分值</w:t>
            </w:r>
          </w:p>
        </w:tc>
        <w:tc>
          <w:tcPr>
            <w:tcW w:w="6197" w:type="dxa"/>
            <w:tcBorders>
              <w:top w:val="single" w:color="auto" w:sz="4" w:space="0"/>
              <w:left w:val="single" w:color="auto" w:sz="4" w:space="0"/>
              <w:bottom w:val="single" w:color="auto" w:sz="4" w:space="0"/>
              <w:right w:val="single" w:color="auto" w:sz="4" w:space="0"/>
            </w:tcBorders>
            <w:vAlign w:val="center"/>
          </w:tcPr>
          <w:p w14:paraId="41E4E7F2">
            <w:pPr>
              <w:pStyle w:val="5"/>
              <w:adjustRightInd w:val="0"/>
              <w:snapToGrid w:val="0"/>
              <w:spacing w:line="240" w:lineRule="auto"/>
              <w:ind w:firstLine="0" w:firstLineChars="0"/>
              <w:jc w:val="center"/>
              <w:rPr>
                <w:rFonts w:hint="default" w:ascii="Times New Roman" w:hAnsi="Times New Roman" w:eastAsia="方正仿宋_GBK" w:cs="Times New Roman"/>
                <w:b/>
                <w:sz w:val="21"/>
                <w:szCs w:val="21"/>
              </w:rPr>
            </w:pPr>
            <w:r>
              <w:rPr>
                <w:rFonts w:hint="default" w:ascii="Times New Roman" w:hAnsi="Times New Roman" w:eastAsia="方正仿宋_GBK" w:cs="Times New Roman"/>
                <w:b/>
                <w:sz w:val="21"/>
                <w:szCs w:val="21"/>
              </w:rPr>
              <w:t>评分标准</w:t>
            </w:r>
          </w:p>
        </w:tc>
      </w:tr>
      <w:tr w14:paraId="17F0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3" w:hRule="atLeast"/>
          <w:jc w:val="center"/>
        </w:trPr>
        <w:tc>
          <w:tcPr>
            <w:tcW w:w="705" w:type="dxa"/>
            <w:tcBorders>
              <w:top w:val="single" w:color="auto" w:sz="4" w:space="0"/>
              <w:left w:val="single" w:color="auto" w:sz="4" w:space="0"/>
              <w:right w:val="single" w:color="auto" w:sz="4" w:space="0"/>
            </w:tcBorders>
            <w:vAlign w:val="center"/>
          </w:tcPr>
          <w:p w14:paraId="0EB969E5">
            <w:pPr>
              <w:pStyle w:val="5"/>
              <w:adjustRightInd w:val="0"/>
              <w:snapToGrid w:val="0"/>
              <w:spacing w:line="240" w:lineRule="auto"/>
              <w:ind w:firstLine="0" w:firstLineChars="0"/>
              <w:jc w:val="center"/>
              <w:rPr>
                <w:rFonts w:hint="default" w:ascii="Times New Roman" w:hAnsi="Times New Roman" w:eastAsia="方正仿宋_GBK" w:cs="Times New Roman"/>
                <w:bCs/>
                <w:sz w:val="21"/>
                <w:szCs w:val="21"/>
                <w:lang w:eastAsia="zh-CN"/>
              </w:rPr>
            </w:pPr>
            <w:r>
              <w:rPr>
                <w:rFonts w:hint="default" w:ascii="Times New Roman" w:hAnsi="Times New Roman" w:eastAsia="方正仿宋_GBK" w:cs="Times New Roman"/>
                <w:bCs/>
                <w:sz w:val="21"/>
                <w:szCs w:val="21"/>
                <w:lang w:val="en-US" w:eastAsia="zh-CN"/>
              </w:rPr>
              <w:t>7</w:t>
            </w:r>
          </w:p>
        </w:tc>
        <w:tc>
          <w:tcPr>
            <w:tcW w:w="1223" w:type="dxa"/>
            <w:tcBorders>
              <w:top w:val="single" w:color="auto" w:sz="4" w:space="0"/>
              <w:left w:val="single" w:color="auto" w:sz="4" w:space="0"/>
              <w:bottom w:val="single" w:color="auto" w:sz="4" w:space="0"/>
              <w:right w:val="single" w:color="auto" w:sz="4" w:space="0"/>
            </w:tcBorders>
            <w:vAlign w:val="center"/>
          </w:tcPr>
          <w:p w14:paraId="21B294E5">
            <w:pPr>
              <w:adjustRightInd w:val="0"/>
              <w:snapToGrid w:val="0"/>
              <w:jc w:val="center"/>
              <w:rPr>
                <w:rFonts w:hint="default" w:ascii="Times New Roman" w:hAnsi="Times New Roman" w:eastAsia="方正仿宋_GBK" w:cs="Times New Roman"/>
                <w:bCs/>
                <w:sz w:val="21"/>
                <w:szCs w:val="21"/>
              </w:rPr>
            </w:pPr>
            <w:r>
              <w:rPr>
                <w:rFonts w:hint="default" w:ascii="Times New Roman" w:hAnsi="Times New Roman" w:eastAsia="方正仿宋_GBK" w:cs="Times New Roman"/>
                <w:bCs/>
                <w:sz w:val="21"/>
                <w:szCs w:val="21"/>
                <w:lang w:val="zh-CN"/>
              </w:rPr>
              <w:t>投标报价</w:t>
            </w:r>
          </w:p>
        </w:tc>
        <w:tc>
          <w:tcPr>
            <w:tcW w:w="935" w:type="dxa"/>
            <w:tcBorders>
              <w:top w:val="single" w:color="auto" w:sz="4" w:space="0"/>
              <w:left w:val="single" w:color="auto" w:sz="4" w:space="0"/>
              <w:bottom w:val="single" w:color="auto" w:sz="4" w:space="0"/>
              <w:right w:val="single" w:color="auto" w:sz="4" w:space="0"/>
            </w:tcBorders>
            <w:vAlign w:val="center"/>
          </w:tcPr>
          <w:p w14:paraId="383CBEDC">
            <w:pPr>
              <w:pStyle w:val="5"/>
              <w:adjustRightInd w:val="0"/>
              <w:snapToGrid w:val="0"/>
              <w:spacing w:line="240" w:lineRule="auto"/>
              <w:ind w:firstLine="0" w:firstLineChars="0"/>
              <w:jc w:val="center"/>
              <w:rPr>
                <w:rFonts w:hint="default" w:ascii="Times New Roman" w:hAnsi="Times New Roman" w:eastAsia="方正仿宋_GBK" w:cs="Times New Roman"/>
                <w:bCs/>
                <w:sz w:val="21"/>
                <w:szCs w:val="21"/>
                <w:lang w:val="en-US" w:eastAsia="zh-CN"/>
              </w:rPr>
            </w:pPr>
            <w:r>
              <w:rPr>
                <w:rFonts w:hint="default" w:ascii="Times New Roman" w:hAnsi="Times New Roman" w:eastAsia="方正仿宋_GBK" w:cs="Times New Roman"/>
                <w:bCs/>
                <w:sz w:val="21"/>
                <w:szCs w:val="21"/>
              </w:rPr>
              <w:t>1</w:t>
            </w:r>
            <w:r>
              <w:rPr>
                <w:rFonts w:hint="default" w:ascii="Times New Roman" w:hAnsi="Times New Roman" w:eastAsia="方正仿宋_GBK" w:cs="Times New Roman"/>
                <w:bCs/>
                <w:sz w:val="21"/>
                <w:szCs w:val="21"/>
                <w:lang w:val="en-US" w:eastAsia="zh-CN"/>
              </w:rPr>
              <w:t>5</w:t>
            </w:r>
          </w:p>
        </w:tc>
        <w:tc>
          <w:tcPr>
            <w:tcW w:w="6197" w:type="dxa"/>
            <w:tcBorders>
              <w:top w:val="single" w:color="auto" w:sz="4" w:space="0"/>
              <w:left w:val="single" w:color="auto" w:sz="4" w:space="0"/>
              <w:bottom w:val="single" w:color="auto" w:sz="4" w:space="0"/>
              <w:right w:val="single" w:color="auto" w:sz="4" w:space="0"/>
            </w:tcBorders>
            <w:vAlign w:val="center"/>
          </w:tcPr>
          <w:p w14:paraId="0898B0AA">
            <w:pPr>
              <w:adjustRightInd w:val="0"/>
              <w:snapToGrid w:val="0"/>
              <w:ind w:firstLine="420" w:firstLineChars="200"/>
              <w:jc w:val="left"/>
              <w:rPr>
                <w:rFonts w:hint="default" w:ascii="Times New Roman" w:hAnsi="Times New Roman" w:eastAsia="方正仿宋_GBK" w:cs="Times New Roman"/>
                <w:bCs/>
                <w:sz w:val="21"/>
                <w:szCs w:val="21"/>
                <w:lang w:val="zh-CN"/>
              </w:rPr>
            </w:pPr>
            <w:r>
              <w:rPr>
                <w:rFonts w:hint="default" w:ascii="Times New Roman" w:hAnsi="Times New Roman" w:eastAsia="方正仿宋_GBK" w:cs="Times New Roman"/>
                <w:bCs/>
                <w:sz w:val="21"/>
                <w:szCs w:val="21"/>
                <w:lang w:val="zh-CN"/>
              </w:rPr>
              <w:t>价格分应当采用低价优先法计算，即满足采购需求且报价最低的为基准价，该项价格得分为满分。其他供应商的价格得分统一按照下列公式计算： 供应商价格得分=(基准价／报价)×</w:t>
            </w:r>
            <w:r>
              <w:rPr>
                <w:rFonts w:hint="default" w:ascii="Times New Roman" w:hAnsi="Times New Roman" w:eastAsia="方正仿宋_GBK" w:cs="Times New Roman"/>
                <w:bCs/>
                <w:sz w:val="21"/>
                <w:szCs w:val="21"/>
                <w:lang w:val="en-US" w:eastAsia="zh-CN"/>
              </w:rPr>
              <w:t>15</w:t>
            </w:r>
            <w:r>
              <w:rPr>
                <w:rFonts w:hint="default" w:ascii="Times New Roman" w:hAnsi="Times New Roman" w:eastAsia="方正仿宋_GBK" w:cs="Times New Roman"/>
                <w:bCs/>
                <w:sz w:val="21"/>
                <w:szCs w:val="21"/>
                <w:lang w:val="zh-CN"/>
              </w:rPr>
              <w:t>，价格得分四舍五入后保留小数点后两位有效数。</w:t>
            </w:r>
            <w:r>
              <w:rPr>
                <w:rFonts w:hint="default" w:ascii="Times New Roman" w:hAnsi="Times New Roman" w:eastAsia="方正仿宋_GBK" w:cs="Times New Roman"/>
                <w:b/>
                <w:bCs w:val="0"/>
                <w:sz w:val="21"/>
                <w:szCs w:val="21"/>
                <w:lang w:val="zh-CN"/>
              </w:rPr>
              <w:t>（对符合规定的小型和微型企业（监狱企业、残疾人福利单位视同小型、微型企业）报价给予10%的价格扣除。）</w:t>
            </w:r>
          </w:p>
        </w:tc>
      </w:tr>
    </w:tbl>
    <w:p w14:paraId="6BF016E1">
      <w:pPr>
        <w:pStyle w:val="4"/>
        <w:spacing w:line="600" w:lineRule="exact"/>
        <w:ind w:firstLine="0" w:firstLineChars="0"/>
        <w:jc w:val="left"/>
        <w:outlineLvl w:val="1"/>
        <w:rPr>
          <w:rFonts w:hint="default" w:ascii="Times New Roman" w:hAnsi="Times New Roman" w:eastAsia="方正仿宋_GBK" w:cs="Times New Roman"/>
          <w:color w:val="000000"/>
          <w:kern w:val="0"/>
          <w:sz w:val="31"/>
          <w:szCs w:val="31"/>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_GBK">
    <w:altName w:val="宋体"/>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FC3E95"/>
    <w:rsid w:val="3DFC3E95"/>
    <w:rsid w:val="5B577B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0"/>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列出段落1"/>
    <w:basedOn w:val="1"/>
    <w:qFormat/>
    <w:uiPriority w:val="99"/>
    <w:pPr>
      <w:ind w:firstLine="420" w:firstLineChars="200"/>
    </w:pPr>
    <w:rPr>
      <w:rFonts w:eastAsia="宋体"/>
      <w:szCs w:val="20"/>
    </w:rPr>
  </w:style>
  <w:style w:type="paragraph" w:customStyle="1" w:styleId="5">
    <w:name w:val="正文缩进2格"/>
    <w:basedOn w:val="1"/>
    <w:next w:val="1"/>
    <w:qFormat/>
    <w:uiPriority w:val="99"/>
    <w:pPr>
      <w:spacing w:line="600" w:lineRule="exact"/>
      <w:ind w:firstLine="639" w:firstLineChars="206"/>
    </w:pPr>
    <w:rPr>
      <w:rFonts w:ascii="仿宋_GB2312" w:hAnsi="宋体" w:eastAsia="仿宋_GB2312" w:cs="Times New Roman"/>
      <w:sz w:val="3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2026-03-31T03:37:00Z</dcterms:created>
  <dc:creator>李耀明</dc:creator>
  <cp:lastModifiedBy>李耀明</cp:lastModifiedBy>
  <dcterms:modified xsi:type="dcterms:W3CDTF">2026-03-31T03:38:25Z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75C8FDBF0BE5409E8289DC3ECBB8E832_11</vt:lpwstr>
  </property>
  <property fmtid="{D5CDD505-2E9C-101B-9397-08002B2CF9AE}" pid="4" name="KSOTemplateDocerSaveRecord">
    <vt:lpwstr>eyJoZGlkIjoiMDM3NGU3YmU1ODYyYjdmN2E3ZWRhMmM0MjY3M2IwZTIiLCJ1c2VySWQiOiIzNDIwMDI0OTEifQ==</vt:lpwstr>
  </property>
</Properties>
</file>