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FBEB6">
      <w:pPr>
        <w:spacing w:line="58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附件2：</w:t>
      </w:r>
    </w:p>
    <w:p w14:paraId="06C6A387">
      <w:pPr>
        <w:jc w:val="center"/>
        <w:rPr>
          <w:rFonts w:hint="default" w:ascii="Times New Roman" w:hAnsi="Times New Roman" w:eastAsia="方正大标宋_GBK" w:cs="Times New Roman"/>
          <w:b w:val="0"/>
          <w:bCs/>
          <w:kern w:val="0"/>
          <w:sz w:val="42"/>
          <w:szCs w:val="42"/>
          <w:lang w:val="en"/>
        </w:rPr>
      </w:pPr>
      <w:bookmarkStart w:id="0" w:name="_GoBack"/>
      <w:r>
        <w:rPr>
          <w:rFonts w:hint="default" w:ascii="Times New Roman" w:hAnsi="Times New Roman" w:eastAsia="方正大标宋_GBK" w:cs="Times New Roman"/>
          <w:b w:val="0"/>
          <w:bCs/>
          <w:sz w:val="42"/>
          <w:szCs w:val="42"/>
          <w:lang w:val="en"/>
        </w:rPr>
        <w:t>评分表</w:t>
      </w:r>
      <w:bookmarkEnd w:id="0"/>
    </w:p>
    <w:tbl>
      <w:tblPr>
        <w:tblStyle w:val="6"/>
        <w:tblW w:w="97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1430"/>
        <w:gridCol w:w="6713"/>
        <w:gridCol w:w="896"/>
      </w:tblGrid>
      <w:tr w14:paraId="00E82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5" w:hRule="atLeast"/>
          <w:tblHeader/>
          <w:jc w:val="center"/>
        </w:trPr>
        <w:tc>
          <w:tcPr>
            <w:tcW w:w="662" w:type="dxa"/>
            <w:vAlign w:val="center"/>
          </w:tcPr>
          <w:p w14:paraId="3434E030">
            <w:pPr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8"/>
                <w:szCs w:val="28"/>
              </w:rPr>
              <w:t>序号</w:t>
            </w:r>
          </w:p>
        </w:tc>
        <w:tc>
          <w:tcPr>
            <w:tcW w:w="1430" w:type="dxa"/>
            <w:vAlign w:val="center"/>
          </w:tcPr>
          <w:p w14:paraId="2AA5111C">
            <w:pPr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8"/>
                <w:szCs w:val="28"/>
              </w:rPr>
              <w:t>评分项目及权重</w:t>
            </w:r>
          </w:p>
        </w:tc>
        <w:tc>
          <w:tcPr>
            <w:tcW w:w="6713" w:type="dxa"/>
            <w:vAlign w:val="center"/>
          </w:tcPr>
          <w:p w14:paraId="04D057EF">
            <w:pPr>
              <w:pStyle w:val="5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8"/>
                <w:szCs w:val="28"/>
              </w:rPr>
              <w:t>评分标准</w:t>
            </w:r>
          </w:p>
        </w:tc>
        <w:tc>
          <w:tcPr>
            <w:tcW w:w="896" w:type="dxa"/>
            <w:vAlign w:val="center"/>
          </w:tcPr>
          <w:p w14:paraId="75B8542B">
            <w:pPr>
              <w:pStyle w:val="5"/>
              <w:snapToGrid w:val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8"/>
                <w:szCs w:val="28"/>
              </w:rPr>
              <w:t>得分</w:t>
            </w:r>
          </w:p>
        </w:tc>
      </w:tr>
      <w:tr w14:paraId="3EFB1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5" w:hRule="atLeast"/>
          <w:jc w:val="center"/>
        </w:trPr>
        <w:tc>
          <w:tcPr>
            <w:tcW w:w="662" w:type="dxa"/>
            <w:vAlign w:val="center"/>
          </w:tcPr>
          <w:p w14:paraId="46C182B1">
            <w:pPr>
              <w:pStyle w:val="8"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e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30" w:type="dxa"/>
            <w:vAlign w:val="center"/>
          </w:tcPr>
          <w:p w14:paraId="66739BF8">
            <w:pPr>
              <w:pStyle w:val="8"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价格</w:t>
            </w:r>
          </w:p>
          <w:p w14:paraId="447907AD">
            <w:pPr>
              <w:pStyle w:val="8"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e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（15分）</w:t>
            </w:r>
          </w:p>
        </w:tc>
        <w:tc>
          <w:tcPr>
            <w:tcW w:w="6713" w:type="dxa"/>
            <w:vAlign w:val="center"/>
          </w:tcPr>
          <w:p w14:paraId="4B640F16">
            <w:pPr>
              <w:pStyle w:val="8"/>
              <w:spacing w:line="360" w:lineRule="exact"/>
              <w:ind w:left="1" w:firstLine="0" w:firstLineChars="0"/>
              <w:rPr>
                <w:rFonts w:ascii="Times New Roman" w:hAnsi="Times New Roman" w:cs="Times New Roman"/>
                <w:sz w:val="22"/>
                <w:szCs w:val="22"/>
                <w:lang w:val="e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取满足采购文件要求且价格扣除后的最低投标报价作为评标基准价，其价格分为满分。其他供应商的价格分统一按照下列公式计算：价格扣除后的投标报价得分=（评标基准价/价格扣除后的投标报价）×15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 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（对符合规定的小型和微型企业（监狱企业、残疾人福利单位视同小型、微型企业）报价给予10%的价格扣除。）</w:t>
            </w:r>
          </w:p>
        </w:tc>
        <w:tc>
          <w:tcPr>
            <w:tcW w:w="896" w:type="dxa"/>
            <w:vAlign w:val="center"/>
          </w:tcPr>
          <w:p w14:paraId="0E60CE6A">
            <w:pPr>
              <w:pStyle w:val="5"/>
              <w:snapToGrid w:val="0"/>
              <w:ind w:firstLine="48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67A30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8" w:hRule="atLeast"/>
          <w:jc w:val="center"/>
        </w:trPr>
        <w:tc>
          <w:tcPr>
            <w:tcW w:w="662" w:type="dxa"/>
            <w:vAlign w:val="center"/>
          </w:tcPr>
          <w:p w14:paraId="6BE60258">
            <w:pPr>
              <w:pStyle w:val="8"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e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30" w:type="dxa"/>
            <w:vAlign w:val="center"/>
          </w:tcPr>
          <w:p w14:paraId="288832A8">
            <w:pPr>
              <w:pStyle w:val="8"/>
              <w:spacing w:line="400" w:lineRule="exact"/>
              <w:ind w:left="1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实施方案</w:t>
            </w:r>
          </w:p>
          <w:p w14:paraId="506ADA8C">
            <w:pPr>
              <w:pStyle w:val="8"/>
              <w:spacing w:line="400" w:lineRule="exact"/>
              <w:ind w:left="1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e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（20分）</w:t>
            </w:r>
          </w:p>
        </w:tc>
        <w:tc>
          <w:tcPr>
            <w:tcW w:w="6713" w:type="dxa"/>
            <w:vAlign w:val="center"/>
          </w:tcPr>
          <w:p w14:paraId="0B76522C">
            <w:pPr>
              <w:pStyle w:val="8"/>
              <w:spacing w:line="360" w:lineRule="exact"/>
              <w:ind w:left="1" w:firstLine="0"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根据投标人响应文件提供的运维服务实施方案（包括对项目的理解、投入人员力量、运维目标、运维内容、运维服务计划）进行评审： </w:t>
            </w:r>
          </w:p>
          <w:p w14:paraId="59394336">
            <w:pPr>
              <w:pStyle w:val="8"/>
              <w:spacing w:line="360" w:lineRule="exact"/>
              <w:ind w:left="1" w:firstLine="0"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优：服务方案技术可行，内容完整，针对性强，完全满足招标需求，得20分；</w:t>
            </w:r>
          </w:p>
          <w:p w14:paraId="200FC1E6">
            <w:pPr>
              <w:pStyle w:val="8"/>
              <w:spacing w:line="360" w:lineRule="exact"/>
              <w:ind w:left="1" w:firstLine="0"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良：服务方案技术较可行，内容较完整，针对性较强，能够满足招标需求，得15分；</w:t>
            </w:r>
          </w:p>
          <w:p w14:paraId="3A98DA39">
            <w:pPr>
              <w:pStyle w:val="8"/>
              <w:spacing w:line="360" w:lineRule="exact"/>
              <w:ind w:left="1" w:firstLine="0"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中：服务方案一般，技术基本可行，内容基本完整，针对性一般，基本满足招标需求，得10分；</w:t>
            </w:r>
          </w:p>
          <w:p w14:paraId="28318994">
            <w:pPr>
              <w:pStyle w:val="8"/>
              <w:spacing w:line="360" w:lineRule="exact"/>
              <w:ind w:left="1" w:firstLine="0"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差：服务方案差，技术基本不可行，内容缺失，针对性差，不能满足招标需求，得5分。</w:t>
            </w:r>
          </w:p>
          <w:p w14:paraId="5F9CECC3">
            <w:pPr>
              <w:pStyle w:val="8"/>
              <w:spacing w:line="360" w:lineRule="exact"/>
              <w:ind w:left="1" w:firstLine="0" w:firstLineChars="0"/>
              <w:rPr>
                <w:rFonts w:ascii="Times New Roman" w:hAnsi="Times New Roman" w:cs="Times New Roman"/>
                <w:sz w:val="22"/>
                <w:szCs w:val="22"/>
                <w:lang w:val="e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注：未提供不得分。</w:t>
            </w:r>
          </w:p>
        </w:tc>
        <w:tc>
          <w:tcPr>
            <w:tcW w:w="896" w:type="dxa"/>
            <w:vAlign w:val="center"/>
          </w:tcPr>
          <w:p w14:paraId="02F8F8FB">
            <w:pPr>
              <w:pStyle w:val="5"/>
              <w:snapToGrid w:val="0"/>
              <w:ind w:firstLine="48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3D32A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3" w:hRule="atLeast"/>
          <w:jc w:val="center"/>
        </w:trPr>
        <w:tc>
          <w:tcPr>
            <w:tcW w:w="662" w:type="dxa"/>
            <w:vAlign w:val="center"/>
          </w:tcPr>
          <w:p w14:paraId="305D5525">
            <w:pPr>
              <w:pStyle w:val="8"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e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30" w:type="dxa"/>
            <w:vAlign w:val="center"/>
          </w:tcPr>
          <w:p w14:paraId="565C9BBF">
            <w:pPr>
              <w:pStyle w:val="8"/>
              <w:spacing w:line="360" w:lineRule="exact"/>
              <w:ind w:left="1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e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"/>
              </w:rPr>
              <w:t>应急保障</w:t>
            </w:r>
          </w:p>
          <w:p w14:paraId="0DEAA698">
            <w:pPr>
              <w:pStyle w:val="8"/>
              <w:spacing w:line="360" w:lineRule="exact"/>
              <w:ind w:left="1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e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"/>
              </w:rPr>
              <w:t>措施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(15分）</w:t>
            </w:r>
          </w:p>
        </w:tc>
        <w:tc>
          <w:tcPr>
            <w:tcW w:w="6713" w:type="dxa"/>
            <w:vAlign w:val="center"/>
          </w:tcPr>
          <w:p w14:paraId="06BA920D">
            <w:pPr>
              <w:pStyle w:val="8"/>
              <w:spacing w:line="360" w:lineRule="exact"/>
              <w:ind w:left="1" w:firstLine="0"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针对本项目</w:t>
            </w: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val="en"/>
              </w:rPr>
              <w:t>制定相应的应急保障措施：</w:t>
            </w:r>
          </w:p>
          <w:p w14:paraId="45768828">
            <w:pPr>
              <w:pStyle w:val="8"/>
              <w:spacing w:line="360" w:lineRule="exact"/>
              <w:ind w:left="1" w:firstLine="0"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1.建立了完善的应急处理机制且处理紧急、突发事件保障措施详细、完整、事件处理的执行力强、人员调配方案有效性高、保障措施针对性强，可行性高的，得15分；</w:t>
            </w:r>
          </w:p>
          <w:p w14:paraId="418EA52F">
            <w:pPr>
              <w:pStyle w:val="8"/>
              <w:spacing w:line="360" w:lineRule="exact"/>
              <w:ind w:left="1" w:firstLine="0"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2.建立了较为完善的应急处理机制且处理紧急、突发事件保障措施清晰、完整，事件处理的执行力较强、人员调配方案具有一定的有效性、保障措施具有一定的针对性，可行性较高的，得10分；</w:t>
            </w:r>
          </w:p>
          <w:p w14:paraId="44F5EF43">
            <w:pPr>
              <w:pStyle w:val="8"/>
              <w:spacing w:line="360" w:lineRule="exact"/>
              <w:ind w:left="1" w:firstLine="0"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3.建立了应急处理机制且处理紧急、突发事件保障措施描述较为清晰，事件处理具有一定的执行力、人员调配方案有效性较好、保障措施针对性一般，基本可行的，得8分； </w:t>
            </w:r>
          </w:p>
          <w:p w14:paraId="78E3F2E9">
            <w:pPr>
              <w:pStyle w:val="8"/>
              <w:spacing w:line="360" w:lineRule="exact"/>
              <w:ind w:left="1" w:firstLine="0" w:firstLineChars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4.建立了应急处理机制但处理紧急、突发事件保障措施描述清晰度差，事件处理执行力一般、人员调配方案有效性一般、保障措施不具针对性，可行性较差的，得5分；</w:t>
            </w:r>
          </w:p>
          <w:p w14:paraId="04D0232E">
            <w:pPr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</w:rPr>
              <w:t>5.未建立应急处理机制，保障措施不具可行性的，得1分。</w:t>
            </w:r>
          </w:p>
          <w:p w14:paraId="17F112ED">
            <w:pPr>
              <w:pStyle w:val="8"/>
              <w:spacing w:line="360" w:lineRule="exact"/>
              <w:ind w:left="1" w:firstLine="0" w:firstLineChars="0"/>
              <w:rPr>
                <w:rFonts w:ascii="Times New Roman" w:hAnsi="Times New Roman" w:cs="Times New Roman"/>
                <w:b/>
                <w:sz w:val="22"/>
                <w:szCs w:val="22"/>
                <w:lang w:val="e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注：未提供方案不得分。</w:t>
            </w:r>
          </w:p>
        </w:tc>
        <w:tc>
          <w:tcPr>
            <w:tcW w:w="896" w:type="dxa"/>
          </w:tcPr>
          <w:p w14:paraId="4EC19197">
            <w:pPr>
              <w:rPr>
                <w:rFonts w:ascii="Times New Roman" w:hAnsi="Times New Roman" w:cs="Times New Roman"/>
              </w:rPr>
            </w:pPr>
          </w:p>
        </w:tc>
      </w:tr>
      <w:tr w14:paraId="52C34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7" w:hRule="atLeast"/>
          <w:jc w:val="center"/>
        </w:trPr>
        <w:tc>
          <w:tcPr>
            <w:tcW w:w="662" w:type="dxa"/>
            <w:vAlign w:val="center"/>
          </w:tcPr>
          <w:p w14:paraId="27736785">
            <w:pPr>
              <w:pStyle w:val="8"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e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30" w:type="dxa"/>
            <w:vAlign w:val="center"/>
          </w:tcPr>
          <w:p w14:paraId="171612E1">
            <w:pPr>
              <w:pStyle w:val="8"/>
              <w:spacing w:line="400" w:lineRule="exact"/>
              <w:ind w:left="1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企业服务</w:t>
            </w:r>
          </w:p>
          <w:p w14:paraId="4456446B">
            <w:pPr>
              <w:pStyle w:val="8"/>
              <w:spacing w:line="400" w:lineRule="exact"/>
              <w:ind w:left="1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e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能力（5分）</w:t>
            </w:r>
          </w:p>
        </w:tc>
        <w:tc>
          <w:tcPr>
            <w:tcW w:w="6713" w:type="dxa"/>
            <w:vAlign w:val="center"/>
          </w:tcPr>
          <w:p w14:paraId="7296FE7E">
            <w:pPr>
              <w:pStyle w:val="9"/>
              <w:numPr>
                <w:ilvl w:val="0"/>
                <w:numId w:val="1"/>
              </w:numPr>
              <w:spacing w:line="360" w:lineRule="exac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具备ISO9001质量管理体系认证证书的得5分；</w:t>
            </w:r>
          </w:p>
          <w:p w14:paraId="531B6223">
            <w:pPr>
              <w:pStyle w:val="9"/>
              <w:spacing w:line="360" w:lineRule="exact"/>
              <w:ind w:left="513" w:leftChars="171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本项最高得分5分。</w:t>
            </w:r>
          </w:p>
          <w:p w14:paraId="5113BDF1">
            <w:pPr>
              <w:pStyle w:val="9"/>
              <w:spacing w:line="360" w:lineRule="exact"/>
              <w:rPr>
                <w:rFonts w:ascii="Times New Roman" w:hAnsi="Times New Roman" w:eastAsia="仿宋_GB2312" w:cs="Times New Roman"/>
                <w:sz w:val="22"/>
                <w:szCs w:val="2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  <w:lang w:val="en"/>
              </w:rPr>
              <w:t>注：须提供以上证书证明材料复印件，并加盖公章，不提供的不得分。</w:t>
            </w:r>
          </w:p>
        </w:tc>
        <w:tc>
          <w:tcPr>
            <w:tcW w:w="896" w:type="dxa"/>
            <w:vAlign w:val="center"/>
          </w:tcPr>
          <w:p w14:paraId="44488970">
            <w:pPr>
              <w:pStyle w:val="5"/>
              <w:snapToGrid w:val="0"/>
              <w:ind w:firstLine="48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1C40D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3" w:hRule="atLeast"/>
          <w:jc w:val="center"/>
        </w:trPr>
        <w:tc>
          <w:tcPr>
            <w:tcW w:w="662" w:type="dxa"/>
            <w:vAlign w:val="center"/>
          </w:tcPr>
          <w:p w14:paraId="33A286F5">
            <w:pPr>
              <w:pStyle w:val="8"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1430" w:type="dxa"/>
            <w:vAlign w:val="center"/>
          </w:tcPr>
          <w:p w14:paraId="34FC5E94">
            <w:pPr>
              <w:pStyle w:val="8"/>
              <w:spacing w:line="400" w:lineRule="exact"/>
              <w:ind w:left="1" w:firstLine="0" w:firstLineChars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en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val="en"/>
              </w:rPr>
              <w:t>等保测评</w:t>
            </w:r>
          </w:p>
          <w:p w14:paraId="0AD25D0F">
            <w:pPr>
              <w:pStyle w:val="8"/>
              <w:spacing w:line="400" w:lineRule="exact"/>
              <w:ind w:left="1" w:firstLine="0" w:firstLineChars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en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val="en"/>
              </w:rPr>
              <w:t>工具要求</w:t>
            </w:r>
          </w:p>
          <w:p w14:paraId="7F8EF431">
            <w:pPr>
              <w:pStyle w:val="8"/>
              <w:spacing w:line="400" w:lineRule="exact"/>
              <w:ind w:left="1" w:firstLine="0" w:firstLineChars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en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val="en"/>
              </w:rPr>
              <w:t>（9分）</w:t>
            </w:r>
          </w:p>
        </w:tc>
        <w:tc>
          <w:tcPr>
            <w:tcW w:w="6713" w:type="dxa"/>
            <w:vAlign w:val="center"/>
          </w:tcPr>
          <w:p w14:paraId="70AC2541">
            <w:pPr>
              <w:widowControl/>
              <w:jc w:val="left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</w:rPr>
              <w:t>1、</w:t>
            </w:r>
            <w:r>
              <w:rPr>
                <w:rFonts w:ascii="Times New Roman" w:hAnsi="Times New Roman" w:eastAsia="仿宋_GB2312" w:cs="Times New Roman"/>
                <w:sz w:val="22"/>
              </w:rPr>
              <w:t>具备密码证书合规性检测工具或恶意代码分析工具，得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>3</w:t>
            </w:r>
            <w:r>
              <w:rPr>
                <w:rFonts w:ascii="Times New Roman" w:hAnsi="Times New Roman" w:eastAsia="仿宋_GB2312" w:cs="Times New Roman"/>
                <w:sz w:val="22"/>
              </w:rPr>
              <w:t>分；</w:t>
            </w:r>
          </w:p>
          <w:p w14:paraId="092E391E">
            <w:pPr>
              <w:widowControl/>
              <w:jc w:val="left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</w:rPr>
              <w:t>2、</w:t>
            </w:r>
            <w:r>
              <w:rPr>
                <w:rFonts w:ascii="Times New Roman" w:hAnsi="Times New Roman" w:eastAsia="仿宋_GB2312" w:cs="Times New Roman"/>
                <w:sz w:val="22"/>
              </w:rPr>
              <w:t>具备网络安全数据防泄露或网络安全基础数据管理工具，得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>3</w:t>
            </w:r>
            <w:r>
              <w:rPr>
                <w:rFonts w:ascii="Times New Roman" w:hAnsi="Times New Roman" w:eastAsia="仿宋_GB2312" w:cs="Times New Roman"/>
                <w:sz w:val="22"/>
              </w:rPr>
              <w:t>分；</w:t>
            </w:r>
          </w:p>
          <w:p w14:paraId="535B730B">
            <w:pPr>
              <w:widowControl/>
              <w:jc w:val="left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</w:rPr>
              <w:t>3、</w:t>
            </w:r>
            <w:r>
              <w:rPr>
                <w:rFonts w:ascii="Times New Roman" w:hAnsi="Times New Roman" w:eastAsia="仿宋_GB2312" w:cs="Times New Roman"/>
                <w:sz w:val="22"/>
              </w:rPr>
              <w:t>具备网络数据分类分级维度检测工具或数据包分析工具，得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>3</w:t>
            </w:r>
            <w:r>
              <w:rPr>
                <w:rFonts w:ascii="Times New Roman" w:hAnsi="Times New Roman" w:eastAsia="仿宋_GB2312" w:cs="Times New Roman"/>
                <w:sz w:val="22"/>
              </w:rPr>
              <w:t>分。</w:t>
            </w:r>
          </w:p>
          <w:p w14:paraId="551D9D2A">
            <w:pPr>
              <w:pStyle w:val="9"/>
              <w:spacing w:line="360" w:lineRule="exac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注：需提供自主知识产权的软件著作权并加盖公章，不提供的不得分。</w:t>
            </w:r>
          </w:p>
          <w:p w14:paraId="68E8C95C">
            <w:pPr>
              <w:pStyle w:val="9"/>
              <w:spacing w:line="360" w:lineRule="exact"/>
              <w:ind w:left="513" w:leftChars="171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本项最高得分9分。</w:t>
            </w:r>
          </w:p>
        </w:tc>
        <w:tc>
          <w:tcPr>
            <w:tcW w:w="896" w:type="dxa"/>
            <w:vAlign w:val="center"/>
          </w:tcPr>
          <w:p w14:paraId="17E87830">
            <w:pPr>
              <w:pStyle w:val="5"/>
              <w:snapToGrid w:val="0"/>
              <w:ind w:firstLine="48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15E4D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4" w:hRule="atLeast"/>
          <w:jc w:val="center"/>
        </w:trPr>
        <w:tc>
          <w:tcPr>
            <w:tcW w:w="662" w:type="dxa"/>
            <w:vAlign w:val="center"/>
          </w:tcPr>
          <w:p w14:paraId="220BC858">
            <w:pPr>
              <w:pStyle w:val="8"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en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</w:rPr>
              <w:t>6</w:t>
            </w:r>
          </w:p>
        </w:tc>
        <w:tc>
          <w:tcPr>
            <w:tcW w:w="1430" w:type="dxa"/>
            <w:vAlign w:val="center"/>
          </w:tcPr>
          <w:p w14:paraId="5D58045C">
            <w:pPr>
              <w:pStyle w:val="8"/>
              <w:spacing w:line="400" w:lineRule="exact"/>
              <w:ind w:left="1" w:firstLine="0" w:firstLineChars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en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val="en"/>
              </w:rPr>
              <w:t>项目投入</w:t>
            </w:r>
          </w:p>
          <w:p w14:paraId="6338BAF1">
            <w:pPr>
              <w:pStyle w:val="8"/>
              <w:spacing w:line="400" w:lineRule="exact"/>
              <w:ind w:left="1" w:firstLine="0" w:firstLineChars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en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val="en"/>
              </w:rPr>
              <w:t>人员（</w:t>
            </w: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</w:rPr>
              <w:t>16分</w:t>
            </w: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val="en"/>
              </w:rPr>
              <w:t>）</w:t>
            </w:r>
          </w:p>
        </w:tc>
        <w:tc>
          <w:tcPr>
            <w:tcW w:w="6713" w:type="dxa"/>
            <w:vAlign w:val="center"/>
          </w:tcPr>
          <w:p w14:paraId="50295B64">
            <w:pPr>
              <w:pStyle w:val="4"/>
              <w:spacing w:line="360" w:lineRule="exact"/>
              <w:ind w:firstLine="0"/>
              <w:rPr>
                <w:rFonts w:ascii="Times New Roman" w:hAnsi="Times New Roman" w:eastAsia="仿宋_GB2312" w:cs="Times New Roman"/>
                <w:kern w:val="0"/>
                <w:sz w:val="22"/>
                <w:szCs w:val="2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  <w:lang w:val="en"/>
              </w:rPr>
              <w:t>1、投标人为本项目配备负责人1人：具有计算机类或网络专业高级及以上职称的得6分，具有计算机类或网络专业中级职称的得4分，具有计算机类或网络专业初级职称的得3分，不具有计算机类或网络专业职称的得0分。本项</w:t>
            </w: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</w:rPr>
              <w:t>最高得分6分</w:t>
            </w:r>
            <w:r>
              <w:rPr>
                <w:rFonts w:hint="default" w:ascii="Times New Roman" w:hAnsi="Times New Roman" w:eastAsia="仿宋_GB2312" w:cs="Times New Roman"/>
                <w:kern w:val="0"/>
                <w:sz w:val="22"/>
                <w:szCs w:val="22"/>
                <w:lang w:val="en"/>
              </w:rPr>
              <w:t>；</w:t>
            </w:r>
          </w:p>
          <w:p w14:paraId="5F37362E">
            <w:pPr>
              <w:pStyle w:val="8"/>
              <w:spacing w:line="360" w:lineRule="exact"/>
              <w:ind w:left="1" w:firstLine="0" w:firstLineChars="0"/>
              <w:rPr>
                <w:rFonts w:ascii="Times New Roman" w:hAnsi="Times New Roman" w:cs="Times New Roman"/>
                <w:kern w:val="0"/>
                <w:sz w:val="22"/>
                <w:szCs w:val="22"/>
                <w:lang w:val="en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val="en"/>
              </w:rPr>
              <w:t>2、项目其他人员（负责人除外），具有计算机类或网络专业中级及以上职称的每个得4分；具有计算机类或网络专业初级职称的每个得3分，同一人提供多个职称证书的，只对其中一个最高职称进行打分。本项最高</w:t>
            </w: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</w:rPr>
              <w:t>得10分</w:t>
            </w: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val="en"/>
              </w:rPr>
              <w:t>。</w:t>
            </w:r>
          </w:p>
          <w:p w14:paraId="26B787BA">
            <w:pPr>
              <w:pStyle w:val="8"/>
              <w:spacing w:line="360" w:lineRule="exact"/>
              <w:ind w:left="1" w:firstLine="0" w:firstLineChars="0"/>
              <w:rPr>
                <w:rFonts w:ascii="Times New Roman" w:hAnsi="Times New Roman" w:cs="Times New Roman"/>
                <w:sz w:val="22"/>
                <w:szCs w:val="22"/>
                <w:lang w:val="en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val="en"/>
              </w:rPr>
              <w:t>注：须提供上述人员相应证书复印件，最近3个月任意1个月在该供应商单位缴纳的社保证明复印件并加盖公章。</w:t>
            </w:r>
          </w:p>
        </w:tc>
        <w:tc>
          <w:tcPr>
            <w:tcW w:w="896" w:type="dxa"/>
            <w:vAlign w:val="center"/>
          </w:tcPr>
          <w:p w14:paraId="74B88E54">
            <w:pPr>
              <w:pStyle w:val="5"/>
              <w:snapToGrid w:val="0"/>
              <w:ind w:firstLine="480"/>
              <w:jc w:val="center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799C6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4" w:hRule="atLeast"/>
          <w:jc w:val="center"/>
        </w:trPr>
        <w:tc>
          <w:tcPr>
            <w:tcW w:w="662" w:type="dxa"/>
            <w:vAlign w:val="center"/>
          </w:tcPr>
          <w:p w14:paraId="03AC1B45">
            <w:pPr>
              <w:pStyle w:val="8"/>
              <w:spacing w:line="400" w:lineRule="exact"/>
              <w:ind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e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30" w:type="dxa"/>
            <w:vAlign w:val="center"/>
          </w:tcPr>
          <w:p w14:paraId="37DD8DB5">
            <w:pPr>
              <w:pStyle w:val="8"/>
              <w:spacing w:line="400" w:lineRule="exact"/>
              <w:ind w:left="1" w:firstLine="0" w:firstLineChars="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val="en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val="en"/>
              </w:rPr>
              <w:t>同类项目</w:t>
            </w:r>
          </w:p>
          <w:p w14:paraId="6334E2B7">
            <w:pPr>
              <w:pStyle w:val="8"/>
              <w:spacing w:line="400" w:lineRule="exact"/>
              <w:ind w:left="1" w:firstLine="0" w:firstLineChars="0"/>
              <w:jc w:val="center"/>
              <w:rPr>
                <w:rFonts w:ascii="Times New Roman" w:hAnsi="Times New Roman" w:cs="Times New Roman"/>
                <w:sz w:val="22"/>
                <w:szCs w:val="22"/>
                <w:lang w:val="en"/>
              </w:rPr>
            </w:pP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val="en"/>
              </w:rPr>
              <w:t>业绩（</w:t>
            </w: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</w:rPr>
              <w:t>20分</w:t>
            </w:r>
            <w:r>
              <w:rPr>
                <w:rFonts w:hint="default" w:ascii="Times New Roman" w:hAnsi="Times New Roman" w:cs="Times New Roman"/>
                <w:kern w:val="0"/>
                <w:sz w:val="22"/>
                <w:szCs w:val="22"/>
                <w:lang w:val="en"/>
              </w:rPr>
              <w:t>）</w:t>
            </w:r>
          </w:p>
        </w:tc>
        <w:tc>
          <w:tcPr>
            <w:tcW w:w="6713" w:type="dxa"/>
            <w:vAlign w:val="center"/>
          </w:tcPr>
          <w:p w14:paraId="12F162A4">
            <w:pPr>
              <w:pStyle w:val="9"/>
              <w:spacing w:line="360" w:lineRule="exac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自2021年1月1日起至投标截止时间前，投标人独立承接机动车环保检验机构监管系统运维等相关项目的，每提供一个得5分，最高得20分。不提供不得分。</w:t>
            </w:r>
            <w:r>
              <w:rPr>
                <w:rFonts w:hint="default" w:ascii="Times New Roman" w:hAnsi="Times New Roman" w:eastAsia="仿宋_GB2312" w:cs="Times New Roman"/>
                <w:bCs/>
                <w:sz w:val="22"/>
              </w:rPr>
              <w:t>注：需提供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>合同关键页等证明材料复印件并加盖投标人公章，以合同签订时间为准。</w:t>
            </w:r>
          </w:p>
        </w:tc>
        <w:tc>
          <w:tcPr>
            <w:tcW w:w="896" w:type="dxa"/>
            <w:vAlign w:val="center"/>
          </w:tcPr>
          <w:p w14:paraId="76F610D7">
            <w:pPr>
              <w:pStyle w:val="4"/>
              <w:snapToGrid w:val="0"/>
              <w:spacing w:line="240" w:lineRule="auto"/>
              <w:ind w:firstLine="480"/>
              <w:jc w:val="center"/>
              <w:rPr>
                <w:rFonts w:ascii="Times New Roman" w:hAnsi="Times New Roman" w:eastAsia="仿宋" w:cs="Times New Roman"/>
              </w:rPr>
            </w:pPr>
          </w:p>
        </w:tc>
      </w:tr>
      <w:tr w14:paraId="0AD94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6" w:hRule="atLeast"/>
          <w:jc w:val="center"/>
        </w:trPr>
        <w:tc>
          <w:tcPr>
            <w:tcW w:w="2092" w:type="dxa"/>
            <w:gridSpan w:val="2"/>
            <w:vAlign w:val="center"/>
          </w:tcPr>
          <w:p w14:paraId="0E5A13AF"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"/>
              </w:rPr>
              <w:t>综合得分</w:t>
            </w:r>
          </w:p>
        </w:tc>
        <w:tc>
          <w:tcPr>
            <w:tcW w:w="6713" w:type="dxa"/>
            <w:vAlign w:val="center"/>
          </w:tcPr>
          <w:p w14:paraId="6B3A3814">
            <w:pPr>
              <w:pStyle w:val="5"/>
              <w:spacing w:line="48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"/>
              </w:rPr>
              <w:t>——</w:t>
            </w:r>
          </w:p>
        </w:tc>
        <w:tc>
          <w:tcPr>
            <w:tcW w:w="896" w:type="dxa"/>
            <w:vAlign w:val="center"/>
          </w:tcPr>
          <w:p w14:paraId="0BF7CE01">
            <w:pPr>
              <w:pStyle w:val="4"/>
              <w:snapToGrid w:val="0"/>
              <w:spacing w:line="240" w:lineRule="auto"/>
              <w:ind w:firstLine="480"/>
              <w:jc w:val="center"/>
              <w:rPr>
                <w:rFonts w:ascii="Times New Roman" w:hAnsi="Times New Roman" w:eastAsia="仿宋" w:cs="Times New Roman"/>
              </w:rPr>
            </w:pPr>
          </w:p>
        </w:tc>
      </w:tr>
    </w:tbl>
    <w:p w14:paraId="6E212C19">
      <w:pPr>
        <w:spacing w:line="400" w:lineRule="exact"/>
        <w:ind w:left="722" w:hanging="723" w:hangingChars="300"/>
        <w:jc w:val="left"/>
        <w:rPr>
          <w:rFonts w:ascii="Times New Roman" w:hAnsi="Times New Roman" w:eastAsia="仿宋_GB2312" w:cs="Times New Roman"/>
          <w:b/>
          <w:sz w:val="24"/>
          <w:szCs w:val="24"/>
        </w:rPr>
      </w:pPr>
      <w:r>
        <w:rPr>
          <w:rFonts w:hint="default" w:ascii="Times New Roman" w:hAnsi="Times New Roman" w:eastAsia="仿宋_GB2312" w:cs="Times New Roman"/>
          <w:b/>
          <w:sz w:val="24"/>
          <w:szCs w:val="24"/>
        </w:rPr>
        <w:t>注：1、以上提供的响应资料需在中标后提供原件核查，如经核查后存在弄虚作假行为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/>
          <w:sz w:val="24"/>
          <w:szCs w:val="24"/>
        </w:rPr>
        <w:t>的，将取消服务资格。</w:t>
      </w:r>
    </w:p>
    <w:p w14:paraId="510B1428">
      <w:pPr>
        <w:spacing w:line="400" w:lineRule="exact"/>
        <w:ind w:firstLine="482" w:firstLineChars="200"/>
        <w:jc w:val="left"/>
        <w:rPr>
          <w:rFonts w:ascii="Times New Roman" w:hAnsi="Times New Roman" w:eastAsia="仿宋_GB2312" w:cs="Times New Roman"/>
          <w:b/>
          <w:sz w:val="24"/>
          <w:szCs w:val="24"/>
        </w:rPr>
      </w:pPr>
      <w:r>
        <w:rPr>
          <w:rFonts w:hint="default" w:ascii="Times New Roman" w:hAnsi="Times New Roman" w:eastAsia="仿宋_GB2312" w:cs="Times New Roman"/>
          <w:b/>
          <w:sz w:val="24"/>
          <w:szCs w:val="24"/>
        </w:rPr>
        <w:t>2、请投标人在投标文件中标注以上评分项目证明资料对应的页码。</w:t>
      </w:r>
    </w:p>
    <w:p w14:paraId="79C04FA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291F7F"/>
    <w:multiLevelType w:val="multilevel"/>
    <w:tmpl w:val="35291F7F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063DB8"/>
    <w:rsid w:val="31063DB8"/>
    <w:rsid w:val="5B57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3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kern w:val="0"/>
      <w:sz w:val="24"/>
      <w:szCs w:val="24"/>
      <w:lang w:val="en-US" w:eastAsia="zh-CN" w:bidi="ar-SA"/>
    </w:rPr>
  </w:style>
  <w:style w:type="paragraph" w:styleId="3">
    <w:name w:val="index 5"/>
    <w:basedOn w:val="1"/>
    <w:next w:val="1"/>
    <w:semiHidden/>
    <w:qFormat/>
    <w:uiPriority w:val="0"/>
    <w:pPr>
      <w:ind w:left="1680"/>
    </w:pPr>
    <w:rPr>
      <w:rFonts w:eastAsia="Times New Roman"/>
      <w:sz w:val="32"/>
    </w:rPr>
  </w:style>
  <w:style w:type="paragraph" w:styleId="4">
    <w:name w:val="Normal Indent"/>
    <w:basedOn w:val="1"/>
    <w:qFormat/>
    <w:uiPriority w:val="0"/>
    <w:pPr>
      <w:spacing w:line="360" w:lineRule="auto"/>
      <w:ind w:firstLine="420"/>
    </w:pPr>
    <w:rPr>
      <w:rFonts w:ascii="宋体" w:eastAsia="宋体"/>
      <w:sz w:val="21"/>
    </w:rPr>
  </w:style>
  <w:style w:type="paragraph" w:styleId="5">
    <w:name w:val="Plain Text"/>
    <w:basedOn w:val="1"/>
    <w:qFormat/>
    <w:uiPriority w:val="0"/>
    <w:rPr>
      <w:rFonts w:ascii="宋体" w:hAnsi="Courier New" w:eastAsia="宋体" w:cs="Courier New"/>
      <w:sz w:val="21"/>
      <w:szCs w:val="21"/>
    </w:rPr>
  </w:style>
  <w:style w:type="paragraph" w:customStyle="1" w:styleId="8">
    <w:name w:val="正文缩进2格"/>
    <w:basedOn w:val="1"/>
    <w:next w:val="1"/>
    <w:qFormat/>
    <w:uiPriority w:val="99"/>
    <w:pPr>
      <w:spacing w:line="600" w:lineRule="exact"/>
      <w:ind w:firstLine="639" w:firstLineChars="206"/>
    </w:pPr>
    <w:rPr>
      <w:rFonts w:ascii="仿宋_GB2312" w:hAnsi="宋体"/>
      <w:sz w:val="31"/>
    </w:rPr>
  </w:style>
  <w:style w:type="paragraph" w:customStyle="1" w:styleId="9">
    <w:name w:val="表格文本"/>
    <w:basedOn w:val="1"/>
    <w:qFormat/>
    <w:uiPriority w:val="0"/>
    <w:pPr>
      <w:spacing w:line="276" w:lineRule="auto"/>
    </w:pPr>
    <w:rPr>
      <w:rFonts w:ascii="Calibri" w:hAnsi="Calibri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2026-03-30T09:51:00Z</dcterms:created>
  <dc:creator>李耀明</dc:creator>
  <cp:lastModifiedBy>李耀明</cp:lastModifiedBy>
  <dcterms:modified xsi:type="dcterms:W3CDTF">2026-03-30T09:51:46Z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4A8C4CAFCBAC471AB7BDA9E4B3EF2F5E_11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