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spacing w:line="560" w:lineRule="exact"/>
        <w:ind w:firstLine="0"/>
        <w:jc w:val="center"/>
        <w:rPr>
          <w:rFonts w:hint="default"/>
          <w:color w:val="000000"/>
          <w:sz w:val="44"/>
          <w:szCs w:val="44"/>
          <w:lang w:eastAsia="zh-CN"/>
        </w:rPr>
      </w:pPr>
      <w:r>
        <w:rPr>
          <w:b/>
          <w:color w:val="000000"/>
          <w:sz w:val="44"/>
          <w:szCs w:val="44"/>
        </w:rPr>
        <w:t>江门市市场监督管理局202</w:t>
      </w:r>
      <w:r>
        <w:rPr>
          <w:rFonts w:hint="eastAsia"/>
          <w:b/>
          <w:color w:val="000000"/>
          <w:sz w:val="44"/>
          <w:szCs w:val="44"/>
          <w:lang w:val="en-US" w:eastAsia="zh-CN"/>
        </w:rPr>
        <w:t>6</w:t>
      </w:r>
      <w:r>
        <w:rPr>
          <w:b/>
          <w:color w:val="000000"/>
          <w:sz w:val="44"/>
          <w:szCs w:val="44"/>
        </w:rPr>
        <w:t>年</w:t>
      </w:r>
      <w:r>
        <w:rPr>
          <w:rFonts w:hint="eastAsia"/>
          <w:b/>
          <w:color w:val="000000"/>
          <w:sz w:val="44"/>
          <w:szCs w:val="44"/>
          <w:lang w:val="en-US" w:eastAsia="zh-CN"/>
        </w:rPr>
        <w:t>2</w:t>
      </w:r>
      <w:r>
        <w:rPr>
          <w:b/>
          <w:color w:val="000000"/>
          <w:sz w:val="44"/>
          <w:szCs w:val="44"/>
          <w:lang w:eastAsia="zh-CN"/>
        </w:rPr>
        <w:t>月-2026年</w:t>
      </w:r>
      <w:r>
        <w:rPr>
          <w:rFonts w:hint="eastAsia"/>
          <w:b/>
          <w:color w:val="000000"/>
          <w:sz w:val="44"/>
          <w:szCs w:val="44"/>
          <w:lang w:val="en-US" w:eastAsia="zh-CN"/>
        </w:rPr>
        <w:t>7</w:t>
      </w:r>
      <w:r>
        <w:rPr>
          <w:b/>
          <w:color w:val="000000"/>
          <w:sz w:val="44"/>
          <w:szCs w:val="44"/>
          <w:lang w:eastAsia="zh-CN"/>
        </w:rPr>
        <w:t>月</w:t>
      </w:r>
      <w:r>
        <w:rPr>
          <w:b/>
          <w:color w:val="000000"/>
          <w:sz w:val="44"/>
          <w:szCs w:val="44"/>
        </w:rPr>
        <w:t>职工食堂原料采购项目</w:t>
      </w:r>
      <w:r>
        <w:rPr>
          <w:b/>
          <w:color w:val="000000"/>
          <w:sz w:val="44"/>
          <w:szCs w:val="44"/>
          <w:lang w:eastAsia="zh-CN"/>
        </w:rPr>
        <w:t>合同</w:t>
      </w:r>
    </w:p>
    <w:p>
      <w:pPr>
        <w:pStyle w:val="17"/>
        <w:ind w:firstLine="480"/>
        <w:jc w:val="center"/>
        <w:rPr>
          <w:rFonts w:hint="default"/>
          <w:color w:val="000000"/>
        </w:rPr>
      </w:pPr>
    </w:p>
    <w:p>
      <w:pPr>
        <w:pStyle w:val="17"/>
        <w:spacing w:line="400" w:lineRule="exact"/>
        <w:ind w:firstLine="482"/>
        <w:jc w:val="both"/>
        <w:rPr>
          <w:rFonts w:hint="default"/>
          <w:color w:val="000000"/>
        </w:rPr>
      </w:pPr>
      <w:r>
        <w:rPr>
          <w:b/>
          <w:color w:val="000000"/>
          <w:sz w:val="24"/>
        </w:rPr>
        <w:t>甲方</w:t>
      </w:r>
      <w:r>
        <w:rPr>
          <w:color w:val="000000"/>
          <w:sz w:val="24"/>
        </w:rPr>
        <w:t>：</w:t>
      </w:r>
      <w:r>
        <w:rPr>
          <w:color w:val="000000"/>
          <w:sz w:val="24"/>
          <w:u w:val="single"/>
        </w:rPr>
        <w:t>江门市市场监督管理局</w:t>
      </w:r>
    </w:p>
    <w:p>
      <w:pPr>
        <w:pStyle w:val="17"/>
        <w:spacing w:line="400" w:lineRule="exact"/>
        <w:ind w:firstLine="482"/>
        <w:jc w:val="both"/>
        <w:rPr>
          <w:rFonts w:hint="default"/>
          <w:color w:val="000000"/>
        </w:rPr>
      </w:pPr>
      <w:r>
        <w:rPr>
          <w:color w:val="000000"/>
          <w:sz w:val="24"/>
        </w:rPr>
        <w:t>地址：</w:t>
      </w:r>
      <w:r>
        <w:rPr>
          <w:color w:val="000000"/>
          <w:sz w:val="24"/>
          <w:u w:val="single"/>
        </w:rPr>
        <w:t>江门市东华二路7号</w:t>
      </w:r>
    </w:p>
    <w:p>
      <w:pPr>
        <w:pStyle w:val="17"/>
        <w:spacing w:line="400" w:lineRule="exact"/>
        <w:ind w:firstLine="482"/>
        <w:jc w:val="both"/>
        <w:rPr>
          <w:rFonts w:hint="default"/>
          <w:color w:val="000000"/>
          <w:lang w:eastAsia="zh-CN"/>
        </w:rPr>
      </w:pPr>
      <w:r>
        <w:rPr>
          <w:color w:val="000000"/>
          <w:sz w:val="24"/>
        </w:rPr>
        <w:t>电话：</w:t>
      </w:r>
      <w:r>
        <w:rPr>
          <w:color w:val="000000"/>
          <w:sz w:val="24"/>
          <w:lang w:eastAsia="zh-CN"/>
        </w:rPr>
        <w:t>0750-3168143</w:t>
      </w:r>
    </w:p>
    <w:p>
      <w:pPr>
        <w:pStyle w:val="17"/>
        <w:ind w:firstLine="480"/>
        <w:jc w:val="both"/>
        <w:rPr>
          <w:rFonts w:hint="default"/>
          <w:b/>
          <w:color w:val="000000"/>
          <w:sz w:val="24"/>
          <w:highlight w:val="yellow"/>
        </w:rPr>
      </w:pPr>
    </w:p>
    <w:p>
      <w:pPr>
        <w:pStyle w:val="17"/>
        <w:spacing w:line="400" w:lineRule="exact"/>
        <w:ind w:firstLine="482"/>
        <w:jc w:val="both"/>
        <w:rPr>
          <w:rFonts w:hint="default"/>
          <w:color w:val="000000"/>
          <w:highlight w:val="yellow"/>
          <w:lang w:eastAsia="zh-CN"/>
        </w:rPr>
      </w:pPr>
      <w:r>
        <w:rPr>
          <w:b/>
          <w:color w:val="000000"/>
          <w:sz w:val="24"/>
          <w:highlight w:val="yellow"/>
        </w:rPr>
        <w:t>乙方</w:t>
      </w:r>
      <w:r>
        <w:rPr>
          <w:color w:val="000000"/>
          <w:sz w:val="24"/>
          <w:highlight w:val="yellow"/>
        </w:rPr>
        <w:t>：</w:t>
      </w:r>
      <w:r>
        <w:rPr>
          <w:color w:val="000000"/>
          <w:sz w:val="24"/>
          <w:highlight w:val="yellow"/>
          <w:lang w:eastAsia="zh-CN"/>
        </w:rPr>
        <w:t xml:space="preserve"> </w:t>
      </w:r>
    </w:p>
    <w:p>
      <w:pPr>
        <w:pStyle w:val="17"/>
        <w:spacing w:line="400" w:lineRule="exact"/>
        <w:ind w:firstLine="482"/>
        <w:jc w:val="both"/>
        <w:rPr>
          <w:rFonts w:hint="default"/>
          <w:color w:val="000000"/>
          <w:highlight w:val="yellow"/>
        </w:rPr>
      </w:pPr>
      <w:r>
        <w:rPr>
          <w:color w:val="000000"/>
          <w:sz w:val="24"/>
          <w:highlight w:val="yellow"/>
        </w:rPr>
        <w:t>地址：</w:t>
      </w:r>
    </w:p>
    <w:p>
      <w:pPr>
        <w:pStyle w:val="17"/>
        <w:spacing w:line="400" w:lineRule="exact"/>
        <w:ind w:firstLine="482"/>
        <w:jc w:val="both"/>
        <w:rPr>
          <w:rFonts w:hint="default"/>
          <w:color w:val="000000"/>
          <w:highlight w:val="yellow"/>
        </w:rPr>
      </w:pPr>
      <w:r>
        <w:rPr>
          <w:color w:val="000000"/>
          <w:sz w:val="24"/>
          <w:highlight w:val="yellow"/>
        </w:rPr>
        <w:t>联系人：</w:t>
      </w:r>
    </w:p>
    <w:p>
      <w:pPr>
        <w:pStyle w:val="17"/>
        <w:spacing w:line="400" w:lineRule="exact"/>
        <w:ind w:firstLine="482"/>
        <w:jc w:val="both"/>
        <w:rPr>
          <w:rFonts w:hint="default"/>
          <w:color w:val="000000"/>
          <w:highlight w:val="yellow"/>
        </w:rPr>
      </w:pPr>
      <w:r>
        <w:rPr>
          <w:color w:val="000000"/>
          <w:sz w:val="24"/>
          <w:highlight w:val="yellow"/>
        </w:rPr>
        <w:t>电话：</w:t>
      </w:r>
    </w:p>
    <w:p>
      <w:pPr>
        <w:pStyle w:val="17"/>
        <w:ind w:firstLine="530"/>
        <w:jc w:val="both"/>
        <w:rPr>
          <w:rFonts w:hint="default"/>
          <w:color w:val="000000"/>
          <w:sz w:val="24"/>
          <w:lang w:eastAsia="zh-CN"/>
        </w:rPr>
      </w:pPr>
    </w:p>
    <w:p>
      <w:pPr>
        <w:pStyle w:val="17"/>
        <w:spacing w:line="400" w:lineRule="exact"/>
        <w:ind w:firstLine="527"/>
        <w:jc w:val="both"/>
        <w:rPr>
          <w:rFonts w:hint="default"/>
          <w:color w:val="000000"/>
        </w:rPr>
      </w:pPr>
      <w:r>
        <w:rPr>
          <w:color w:val="000000"/>
          <w:sz w:val="24"/>
        </w:rPr>
        <w:t>甲、乙双方根据江门市市场监督管理局</w:t>
      </w:r>
      <w:r>
        <w:rPr>
          <w:rFonts w:hint="eastAsia"/>
          <w:color w:val="000000"/>
          <w:sz w:val="24"/>
          <w:lang w:eastAsia="zh-CN"/>
        </w:rPr>
        <w:t>2026年2月-2026年7月</w:t>
      </w:r>
      <w:r>
        <w:rPr>
          <w:color w:val="000000"/>
          <w:sz w:val="24"/>
        </w:rPr>
        <w:t>职工食堂原料采购项目（采购编号：</w:t>
      </w:r>
      <w:r>
        <w:rPr>
          <w:rFonts w:hint="eastAsia"/>
          <w:color w:val="000000"/>
          <w:sz w:val="21"/>
          <w:u w:val="single"/>
          <w:lang w:val="en-US" w:eastAsia="zh-CN"/>
        </w:rPr>
        <w:t>2026001</w:t>
      </w:r>
      <w:r>
        <w:rPr>
          <w:color w:val="000000"/>
          <w:sz w:val="24"/>
        </w:rPr>
        <w:t>）（以下简称项目）的</w:t>
      </w:r>
      <w:r>
        <w:rPr>
          <w:color w:val="000000"/>
          <w:sz w:val="24"/>
          <w:lang w:eastAsia="zh-CN"/>
        </w:rPr>
        <w:t>采购公告</w:t>
      </w:r>
      <w:r>
        <w:rPr>
          <w:color w:val="000000"/>
          <w:sz w:val="24"/>
        </w:rPr>
        <w:t>、项目招标结果的要求，按照《中华人民共和国民法典》、《中华人民共和国政府采购法》及其实施条例等相关法律法规的规定，经双方协商，本着平等</w:t>
      </w:r>
      <w:r>
        <w:rPr>
          <w:color w:val="000000"/>
          <w:sz w:val="24"/>
          <w:lang w:eastAsia="zh-CN"/>
        </w:rPr>
        <w:t>、自愿、公平</w:t>
      </w:r>
      <w:r>
        <w:rPr>
          <w:color w:val="000000"/>
          <w:sz w:val="24"/>
        </w:rPr>
        <w:t>和诚实信用的原则，一致同意签订本合同如下：</w:t>
      </w:r>
    </w:p>
    <w:p>
      <w:pPr>
        <w:pStyle w:val="17"/>
        <w:spacing w:line="400" w:lineRule="exact"/>
        <w:ind w:firstLine="480"/>
        <w:jc w:val="left"/>
        <w:rPr>
          <w:rFonts w:hint="default"/>
          <w:color w:val="000000"/>
        </w:rPr>
      </w:pPr>
      <w:r>
        <w:rPr>
          <w:b/>
          <w:color w:val="000000"/>
          <w:sz w:val="24"/>
        </w:rPr>
        <w:t>第一条项目内容及要求</w:t>
      </w:r>
    </w:p>
    <w:p>
      <w:pPr>
        <w:pStyle w:val="17"/>
        <w:spacing w:line="400" w:lineRule="exact"/>
        <w:ind w:firstLine="482"/>
        <w:jc w:val="left"/>
        <w:rPr>
          <w:rFonts w:hint="default"/>
          <w:color w:val="000000"/>
        </w:rPr>
      </w:pPr>
      <w:r>
        <w:rPr>
          <w:b/>
          <w:color w:val="000000"/>
          <w:sz w:val="24"/>
        </w:rPr>
        <w:t>（一）项目采购内容</w:t>
      </w:r>
    </w:p>
    <w:p>
      <w:pPr>
        <w:pStyle w:val="17"/>
        <w:spacing w:line="400" w:lineRule="exact"/>
        <w:ind w:firstLine="480"/>
        <w:jc w:val="left"/>
        <w:rPr>
          <w:color w:val="000000"/>
          <w:sz w:val="24"/>
        </w:rPr>
      </w:pPr>
      <w:r>
        <w:rPr>
          <w:color w:val="000000"/>
          <w:sz w:val="24"/>
        </w:rPr>
        <w:t>为进一步规范甲方食堂物资采购工作，确保食品安全，甲方委托乙方按</w:t>
      </w:r>
      <w:r>
        <w:rPr>
          <w:color w:val="000000"/>
          <w:sz w:val="24"/>
          <w:lang w:eastAsia="zh-CN"/>
        </w:rPr>
        <w:t>甲方采购</w:t>
      </w:r>
      <w:r>
        <w:rPr>
          <w:color w:val="000000"/>
          <w:sz w:val="24"/>
        </w:rPr>
        <w:t>要求为甲方食堂提供原料及其配送货物，甲方采购内容如下表：</w:t>
      </w:r>
    </w:p>
    <w:tbl>
      <w:tblPr>
        <w:tblStyle w:val="9"/>
        <w:tblW w:w="90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73"/>
        <w:gridCol w:w="1450"/>
        <w:gridCol w:w="1417"/>
        <w:gridCol w:w="1583"/>
        <w:gridCol w:w="14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73" w:type="dxa"/>
            <w:noWrap w:val="0"/>
            <w:vAlign w:val="top"/>
          </w:tcPr>
          <w:p>
            <w:pPr>
              <w:pStyle w:val="17"/>
              <w:spacing w:line="400" w:lineRule="exact"/>
              <w:jc w:val="center"/>
              <w:rPr>
                <w:rFonts w:hint="eastAsia" w:eastAsia="宋体"/>
                <w:color w:val="000000"/>
                <w:sz w:val="24"/>
                <w:vertAlign w:val="baseline"/>
                <w:lang w:eastAsia="zh-CN"/>
              </w:rPr>
            </w:pPr>
            <w:r>
              <w:rPr>
                <w:rFonts w:hint="eastAsia"/>
                <w:color w:val="000000"/>
                <w:sz w:val="24"/>
                <w:vertAlign w:val="baseline"/>
                <w:lang w:eastAsia="zh-CN"/>
              </w:rPr>
              <w:t>采购内容</w:t>
            </w:r>
          </w:p>
        </w:tc>
        <w:tc>
          <w:tcPr>
            <w:tcW w:w="1450" w:type="dxa"/>
            <w:noWrap w:val="0"/>
            <w:vAlign w:val="top"/>
          </w:tcPr>
          <w:p>
            <w:pPr>
              <w:pStyle w:val="17"/>
              <w:spacing w:line="400" w:lineRule="exact"/>
              <w:jc w:val="center"/>
              <w:rPr>
                <w:rFonts w:hint="eastAsia" w:eastAsia="宋体"/>
                <w:color w:val="000000"/>
                <w:sz w:val="24"/>
                <w:vertAlign w:val="baseline"/>
                <w:lang w:eastAsia="zh-CN"/>
              </w:rPr>
            </w:pPr>
            <w:r>
              <w:rPr>
                <w:rFonts w:hint="eastAsia"/>
                <w:color w:val="000000"/>
                <w:sz w:val="24"/>
                <w:vertAlign w:val="baseline"/>
                <w:lang w:eastAsia="zh-CN"/>
              </w:rPr>
              <w:t>数量</w:t>
            </w:r>
          </w:p>
        </w:tc>
        <w:tc>
          <w:tcPr>
            <w:tcW w:w="1417" w:type="dxa"/>
            <w:noWrap w:val="0"/>
            <w:vAlign w:val="top"/>
          </w:tcPr>
          <w:p>
            <w:pPr>
              <w:pStyle w:val="17"/>
              <w:spacing w:line="400" w:lineRule="exact"/>
              <w:jc w:val="center"/>
              <w:rPr>
                <w:rFonts w:hint="eastAsia" w:eastAsia="宋体"/>
                <w:color w:val="000000"/>
                <w:sz w:val="24"/>
                <w:vertAlign w:val="baseline"/>
                <w:lang w:eastAsia="zh-CN"/>
              </w:rPr>
            </w:pPr>
            <w:r>
              <w:rPr>
                <w:rFonts w:hint="eastAsia"/>
                <w:color w:val="000000"/>
                <w:sz w:val="24"/>
                <w:vertAlign w:val="baseline"/>
                <w:lang w:eastAsia="zh-CN"/>
              </w:rPr>
              <w:t>预算金额（人民币）</w:t>
            </w:r>
          </w:p>
        </w:tc>
        <w:tc>
          <w:tcPr>
            <w:tcW w:w="1583" w:type="dxa"/>
            <w:noWrap w:val="0"/>
            <w:vAlign w:val="top"/>
          </w:tcPr>
          <w:p>
            <w:pPr>
              <w:pStyle w:val="17"/>
              <w:spacing w:line="400" w:lineRule="exact"/>
              <w:jc w:val="center"/>
              <w:rPr>
                <w:rFonts w:hint="eastAsia" w:eastAsia="宋体"/>
                <w:color w:val="000000"/>
                <w:sz w:val="24"/>
                <w:vertAlign w:val="baseline"/>
                <w:lang w:eastAsia="zh-CN"/>
              </w:rPr>
            </w:pPr>
            <w:r>
              <w:rPr>
                <w:rFonts w:hint="eastAsia"/>
                <w:color w:val="000000"/>
                <w:sz w:val="24"/>
                <w:vertAlign w:val="baseline"/>
                <w:lang w:eastAsia="zh-CN"/>
              </w:rPr>
              <w:t>所属行业</w:t>
            </w:r>
          </w:p>
        </w:tc>
        <w:tc>
          <w:tcPr>
            <w:tcW w:w="1414" w:type="dxa"/>
            <w:noWrap w:val="0"/>
            <w:vAlign w:val="top"/>
          </w:tcPr>
          <w:p>
            <w:pPr>
              <w:pStyle w:val="17"/>
              <w:spacing w:line="400" w:lineRule="exact"/>
              <w:jc w:val="center"/>
              <w:rPr>
                <w:rFonts w:hint="eastAsia" w:eastAsia="宋体"/>
                <w:color w:val="000000"/>
                <w:sz w:val="24"/>
                <w:vertAlign w:val="baseline"/>
                <w:lang w:eastAsia="zh-CN"/>
              </w:rPr>
            </w:pPr>
            <w:r>
              <w:rPr>
                <w:rFonts w:hint="eastAsia"/>
                <w:color w:val="000000"/>
                <w:sz w:val="24"/>
                <w:vertAlign w:val="baseline"/>
                <w:lang w:eastAsia="zh-CN"/>
              </w:rPr>
              <w:t>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5" w:hRule="atLeast"/>
          <w:jc w:val="center"/>
        </w:trPr>
        <w:tc>
          <w:tcPr>
            <w:tcW w:w="3173" w:type="dxa"/>
            <w:noWrap w:val="0"/>
            <w:vAlign w:val="top"/>
          </w:tcPr>
          <w:p>
            <w:pPr>
              <w:pStyle w:val="17"/>
              <w:spacing w:line="400" w:lineRule="exact"/>
              <w:jc w:val="center"/>
              <w:rPr>
                <w:rFonts w:hint="default"/>
                <w:color w:val="000000"/>
                <w:sz w:val="24"/>
                <w:vertAlign w:val="baseline"/>
                <w:lang w:eastAsia="zh-CN"/>
              </w:rPr>
            </w:pPr>
            <w:r>
              <w:rPr>
                <w:rFonts w:hint="default"/>
                <w:color w:val="000000"/>
                <w:sz w:val="24"/>
                <w:vertAlign w:val="baseline"/>
              </w:rPr>
              <w:t>江门市市场监督管理局202</w:t>
            </w:r>
            <w:r>
              <w:rPr>
                <w:rFonts w:hint="default"/>
                <w:color w:val="000000"/>
                <w:sz w:val="24"/>
                <w:vertAlign w:val="baseline"/>
                <w:lang w:val="en-US" w:eastAsia="zh-CN"/>
              </w:rPr>
              <w:t>6</w:t>
            </w:r>
            <w:r>
              <w:rPr>
                <w:rFonts w:hint="default"/>
                <w:color w:val="000000"/>
                <w:sz w:val="24"/>
                <w:vertAlign w:val="baseline"/>
              </w:rPr>
              <w:t>年</w:t>
            </w:r>
            <w:r>
              <w:rPr>
                <w:rFonts w:hint="default"/>
                <w:color w:val="000000"/>
                <w:sz w:val="24"/>
                <w:vertAlign w:val="baseline"/>
                <w:lang w:val="en-US" w:eastAsia="zh-CN"/>
              </w:rPr>
              <w:t>2</w:t>
            </w:r>
            <w:r>
              <w:rPr>
                <w:rFonts w:hint="default"/>
                <w:color w:val="000000"/>
                <w:sz w:val="24"/>
                <w:vertAlign w:val="baseline"/>
                <w:lang w:eastAsia="zh-CN"/>
              </w:rPr>
              <w:t>月-2026年</w:t>
            </w:r>
            <w:r>
              <w:rPr>
                <w:rFonts w:hint="default"/>
                <w:color w:val="000000"/>
                <w:sz w:val="24"/>
                <w:vertAlign w:val="baseline"/>
                <w:lang w:val="en-US" w:eastAsia="zh-CN"/>
              </w:rPr>
              <w:t>7</w:t>
            </w:r>
            <w:r>
              <w:rPr>
                <w:rFonts w:hint="default"/>
                <w:color w:val="000000"/>
                <w:sz w:val="24"/>
                <w:vertAlign w:val="baseline"/>
                <w:lang w:eastAsia="zh-CN"/>
              </w:rPr>
              <w:t>月</w:t>
            </w:r>
            <w:r>
              <w:rPr>
                <w:rFonts w:hint="default"/>
                <w:color w:val="000000"/>
                <w:sz w:val="24"/>
                <w:vertAlign w:val="baseline"/>
              </w:rPr>
              <w:t>职工食堂原料采购项目</w:t>
            </w:r>
            <w:r>
              <w:rPr>
                <w:rFonts w:hint="default"/>
                <w:color w:val="000000"/>
                <w:sz w:val="24"/>
                <w:vertAlign w:val="baseline"/>
                <w:lang w:eastAsia="zh-CN"/>
              </w:rPr>
              <w:t>合同</w:t>
            </w:r>
          </w:p>
          <w:p>
            <w:pPr>
              <w:pStyle w:val="17"/>
              <w:spacing w:line="400" w:lineRule="exact"/>
              <w:jc w:val="center"/>
              <w:rPr>
                <w:rFonts w:hint="default"/>
                <w:color w:val="000000"/>
                <w:sz w:val="24"/>
                <w:vertAlign w:val="baseline"/>
              </w:rPr>
            </w:pPr>
          </w:p>
        </w:tc>
        <w:tc>
          <w:tcPr>
            <w:tcW w:w="1450" w:type="dxa"/>
            <w:noWrap w:val="0"/>
            <w:vAlign w:val="top"/>
          </w:tcPr>
          <w:p>
            <w:pPr>
              <w:pStyle w:val="17"/>
              <w:spacing w:line="400" w:lineRule="exact"/>
              <w:jc w:val="center"/>
              <w:rPr>
                <w:rFonts w:hint="eastAsia" w:eastAsia="宋体"/>
                <w:color w:val="000000"/>
                <w:sz w:val="24"/>
                <w:vertAlign w:val="baseline"/>
                <w:lang w:val="en-US" w:eastAsia="zh-CN"/>
              </w:rPr>
            </w:pPr>
            <w:r>
              <w:rPr>
                <w:rFonts w:hint="eastAsia"/>
                <w:color w:val="000000"/>
                <w:sz w:val="24"/>
                <w:vertAlign w:val="baseline"/>
                <w:lang w:val="en-US" w:eastAsia="zh-CN"/>
              </w:rPr>
              <w:t>1项</w:t>
            </w:r>
          </w:p>
        </w:tc>
        <w:tc>
          <w:tcPr>
            <w:tcW w:w="1417" w:type="dxa"/>
            <w:noWrap w:val="0"/>
            <w:vAlign w:val="top"/>
          </w:tcPr>
          <w:p>
            <w:pPr>
              <w:pStyle w:val="17"/>
              <w:spacing w:line="400" w:lineRule="exact"/>
              <w:jc w:val="center"/>
              <w:rPr>
                <w:rFonts w:hint="default" w:eastAsia="宋体"/>
                <w:color w:val="000000"/>
                <w:sz w:val="24"/>
                <w:vertAlign w:val="baseline"/>
                <w:lang w:val="en-US" w:eastAsia="zh-CN"/>
              </w:rPr>
            </w:pPr>
            <w:r>
              <w:rPr>
                <w:rFonts w:hint="eastAsia"/>
                <w:color w:val="000000"/>
                <w:sz w:val="24"/>
                <w:vertAlign w:val="baseline"/>
                <w:lang w:val="en-US" w:eastAsia="zh-CN"/>
              </w:rPr>
              <w:t>546</w:t>
            </w:r>
            <w:r>
              <w:rPr>
                <w:rFonts w:hint="eastAsia"/>
                <w:color w:val="000000"/>
                <w:sz w:val="24"/>
                <w:vertAlign w:val="baseline"/>
                <w:lang w:val="en-US" w:eastAsia="zh"/>
              </w:rPr>
              <w:t>,</w:t>
            </w:r>
            <w:r>
              <w:rPr>
                <w:rFonts w:hint="eastAsia"/>
                <w:color w:val="000000"/>
                <w:sz w:val="24"/>
                <w:vertAlign w:val="baseline"/>
                <w:lang w:val="en-US" w:eastAsia="zh-CN"/>
              </w:rPr>
              <w:t>800.00</w:t>
            </w:r>
          </w:p>
        </w:tc>
        <w:tc>
          <w:tcPr>
            <w:tcW w:w="1583" w:type="dxa"/>
            <w:noWrap w:val="0"/>
            <w:vAlign w:val="top"/>
          </w:tcPr>
          <w:p>
            <w:pPr>
              <w:pStyle w:val="17"/>
              <w:spacing w:line="400" w:lineRule="exact"/>
              <w:jc w:val="center"/>
              <w:rPr>
                <w:rFonts w:hint="eastAsia" w:eastAsia="宋体"/>
                <w:color w:val="000000"/>
                <w:sz w:val="24"/>
                <w:vertAlign w:val="baseline"/>
                <w:lang w:eastAsia="zh-CN"/>
              </w:rPr>
            </w:pPr>
            <w:r>
              <w:rPr>
                <w:rFonts w:hint="eastAsia"/>
                <w:color w:val="000000"/>
                <w:sz w:val="24"/>
                <w:vertAlign w:val="baseline"/>
                <w:lang w:eastAsia="zh-CN"/>
              </w:rPr>
              <w:t>批发业</w:t>
            </w:r>
          </w:p>
        </w:tc>
        <w:tc>
          <w:tcPr>
            <w:tcW w:w="1414" w:type="dxa"/>
            <w:noWrap w:val="0"/>
            <w:vAlign w:val="top"/>
          </w:tcPr>
          <w:p>
            <w:pPr>
              <w:pStyle w:val="17"/>
              <w:spacing w:line="400" w:lineRule="exact"/>
              <w:jc w:val="center"/>
              <w:rPr>
                <w:rFonts w:hint="eastAsia" w:eastAsia="宋体"/>
                <w:color w:val="000000"/>
                <w:sz w:val="24"/>
                <w:vertAlign w:val="baseline"/>
                <w:lang w:eastAsia="zh-CN"/>
              </w:rPr>
            </w:pPr>
            <w:r>
              <w:rPr>
                <w:rFonts w:hint="eastAsia"/>
                <w:color w:val="000000"/>
                <w:sz w:val="24"/>
                <w:vertAlign w:val="baseline"/>
                <w:lang w:eastAsia="zh-CN"/>
              </w:rPr>
              <w:t>不允许</w:t>
            </w:r>
          </w:p>
        </w:tc>
      </w:tr>
    </w:tbl>
    <w:p>
      <w:pPr>
        <w:pStyle w:val="17"/>
        <w:spacing w:line="400" w:lineRule="exact"/>
        <w:ind w:firstLine="0" w:firstLineChars="0"/>
        <w:jc w:val="left"/>
        <w:rPr>
          <w:b/>
          <w:bCs w:val="0"/>
          <w:color w:val="000000"/>
          <w:sz w:val="24"/>
          <w:lang w:eastAsia="zh-CN"/>
        </w:rPr>
      </w:pPr>
      <w:r>
        <w:rPr>
          <w:rFonts w:hint="eastAsia"/>
          <w:b/>
          <w:bCs w:val="0"/>
          <w:color w:val="000000"/>
          <w:sz w:val="24"/>
          <w:lang w:eastAsia="zh-CN"/>
        </w:rPr>
        <w:t>服务供应内容</w:t>
      </w:r>
    </w:p>
    <w:p>
      <w:pPr>
        <w:pStyle w:val="17"/>
        <w:spacing w:line="400" w:lineRule="exact"/>
        <w:ind w:firstLine="240" w:firstLineChars="100"/>
        <w:jc w:val="left"/>
        <w:rPr>
          <w:rFonts w:hint="default"/>
          <w:color w:val="000000"/>
        </w:rPr>
      </w:pPr>
      <w:r>
        <w:rPr>
          <w:rFonts w:hint="eastAsia"/>
          <w:color w:val="000000"/>
          <w:sz w:val="24"/>
          <w:lang w:eastAsia="zh-CN"/>
        </w:rPr>
        <w:t>（</w:t>
      </w:r>
      <w:r>
        <w:rPr>
          <w:rFonts w:hint="eastAsia"/>
          <w:color w:val="000000"/>
          <w:sz w:val="24"/>
          <w:lang w:val="en-US" w:eastAsia="zh-CN"/>
        </w:rPr>
        <w:t>1</w:t>
      </w:r>
      <w:r>
        <w:rPr>
          <w:rFonts w:hint="eastAsia"/>
          <w:color w:val="000000"/>
          <w:sz w:val="24"/>
          <w:lang w:eastAsia="zh-CN"/>
        </w:rPr>
        <w:t>）</w:t>
      </w:r>
      <w:r>
        <w:rPr>
          <w:color w:val="000000"/>
          <w:sz w:val="24"/>
        </w:rPr>
        <w:t>主要供应：鸡蛋、干货类（各种豆、冬菇、云耳、虫草花、松茸菇、薏米、茨实、沙参、玉竹、莲子、白果、蜜枣等）、调味料（盐、糖、豉油、</w:t>
      </w:r>
      <w:r>
        <w:rPr>
          <w:color w:val="000000"/>
          <w:sz w:val="24"/>
          <w:highlight w:val="none"/>
        </w:rPr>
        <w:t>柱候酱</w:t>
      </w:r>
      <w:r>
        <w:rPr>
          <w:color w:val="000000"/>
          <w:sz w:val="24"/>
        </w:rPr>
        <w:t>等）、各种杂粮、腐竹类、榨菜、牛奶、各种面粉类；</w:t>
      </w:r>
    </w:p>
    <w:p>
      <w:pPr>
        <w:pStyle w:val="17"/>
        <w:spacing w:line="400" w:lineRule="exact"/>
        <w:ind w:firstLine="480" w:firstLineChars="200"/>
        <w:jc w:val="left"/>
        <w:rPr>
          <w:rFonts w:hint="default"/>
          <w:color w:val="000000"/>
        </w:rPr>
      </w:pPr>
      <w:r>
        <w:rPr>
          <w:rFonts w:hint="eastAsia"/>
          <w:color w:val="000000"/>
          <w:sz w:val="24"/>
          <w:lang w:eastAsia="zh-CN"/>
        </w:rPr>
        <w:t>（</w:t>
      </w:r>
      <w:r>
        <w:rPr>
          <w:rFonts w:hint="eastAsia"/>
          <w:color w:val="000000"/>
          <w:sz w:val="24"/>
          <w:lang w:val="en-US" w:eastAsia="zh-CN"/>
        </w:rPr>
        <w:t>2</w:t>
      </w:r>
      <w:r>
        <w:rPr>
          <w:rFonts w:hint="eastAsia"/>
          <w:color w:val="000000"/>
          <w:sz w:val="24"/>
          <w:lang w:eastAsia="zh-CN"/>
        </w:rPr>
        <w:t>）</w:t>
      </w:r>
      <w:r>
        <w:rPr>
          <w:color w:val="000000"/>
          <w:sz w:val="24"/>
        </w:rPr>
        <w:t>辅助供应：猪肉类、家禽类、鱼类、牛羊类、冻品、腊味、菜类、瓜类、水果、米、油（花生油、调和油、麻油）。</w:t>
      </w:r>
    </w:p>
    <w:p>
      <w:pPr>
        <w:pStyle w:val="17"/>
        <w:spacing w:line="400" w:lineRule="exact"/>
        <w:ind w:firstLine="480"/>
        <w:jc w:val="left"/>
        <w:rPr>
          <w:rFonts w:hint="default"/>
          <w:color w:val="000000"/>
        </w:rPr>
      </w:pPr>
      <w:r>
        <w:rPr>
          <w:b/>
          <w:color w:val="000000"/>
          <w:sz w:val="24"/>
        </w:rPr>
        <w:t>（二）产品供应质量要求</w:t>
      </w:r>
    </w:p>
    <w:p>
      <w:pPr>
        <w:pStyle w:val="17"/>
        <w:spacing w:line="400" w:lineRule="exact"/>
        <w:ind w:firstLine="480"/>
        <w:jc w:val="left"/>
        <w:rPr>
          <w:rFonts w:hint="default"/>
          <w:color w:val="000000"/>
        </w:rPr>
      </w:pPr>
      <w:r>
        <w:rPr>
          <w:b/>
          <w:color w:val="000000"/>
          <w:sz w:val="24"/>
        </w:rPr>
        <w:t>1.肉类（含生鲜、冻品、鱼类、熟食等）</w:t>
      </w:r>
    </w:p>
    <w:p>
      <w:pPr>
        <w:pStyle w:val="17"/>
        <w:spacing w:line="400" w:lineRule="exact"/>
        <w:ind w:firstLine="480"/>
        <w:jc w:val="left"/>
        <w:rPr>
          <w:rFonts w:hint="default"/>
          <w:color w:val="000000"/>
        </w:rPr>
      </w:pPr>
      <w:r>
        <w:rPr>
          <w:color w:val="000000"/>
          <w:sz w:val="24"/>
        </w:rPr>
        <w:t>（1）鲜肉确保每日新鲜，肌肉红色均匀，有光泽，脂肪洁白。外表微干或微湿润，放血状况良好，肉边整齐，无破碎肉，无黏液渗出或很干的表皮，无点状、虫状等小颗粒灰白色寄生虫。弹性良好，压后凹陷立即恢复。具有鲜肉正常气味，无泥污、血污、肉边整齐、无碎肉、无碎骨，无注水。五花肉指肥瘦比例为3：7（三线肉）猪肉；瘦肉指脂肪含量低于5%的去皮瘦猪肉；排骨指脂肪含量低于5%，不带排骨头，整排的猪排骨。</w:t>
      </w:r>
    </w:p>
    <w:p>
      <w:pPr>
        <w:pStyle w:val="17"/>
        <w:spacing w:line="400" w:lineRule="exact"/>
        <w:ind w:firstLine="480"/>
        <w:jc w:val="left"/>
        <w:rPr>
          <w:rFonts w:hint="default"/>
          <w:color w:val="000000"/>
        </w:rPr>
      </w:pPr>
      <w:r>
        <w:rPr>
          <w:color w:val="000000"/>
          <w:sz w:val="24"/>
        </w:rPr>
        <w:t>（2）鱼体饱满结实、新鲜，无腐烂异味，肉质紧密有弹性，无离骨脱刺现象，可靠放心，无毒、无害、无污染。</w:t>
      </w:r>
    </w:p>
    <w:p>
      <w:pPr>
        <w:pStyle w:val="17"/>
        <w:spacing w:line="400" w:lineRule="exact"/>
        <w:ind w:firstLine="480"/>
        <w:jc w:val="left"/>
        <w:rPr>
          <w:rFonts w:hint="default"/>
          <w:color w:val="000000"/>
        </w:rPr>
      </w:pPr>
      <w:r>
        <w:rPr>
          <w:color w:val="000000"/>
          <w:sz w:val="24"/>
        </w:rPr>
        <w:t>（3）冷冻食品类产品外包装须有品牌、规格、类型、包装方式、包装净重、含冰量等要素完整的中文标签。</w:t>
      </w:r>
    </w:p>
    <w:p>
      <w:pPr>
        <w:pStyle w:val="17"/>
        <w:spacing w:line="400" w:lineRule="exact"/>
        <w:ind w:firstLine="480"/>
        <w:jc w:val="left"/>
        <w:rPr>
          <w:rFonts w:hint="default"/>
          <w:color w:val="000000"/>
        </w:rPr>
      </w:pPr>
      <w:r>
        <w:rPr>
          <w:color w:val="000000"/>
          <w:sz w:val="24"/>
        </w:rPr>
        <w:t>（4）冷冻肉要求肉体冻实坚硬，无化冻现象，肉质紧密而有弹性，色泽均匀，不粘手，交货时干净、新鲜、无异味，冷冻鱼类要求鱼眼睛清亮，角膜透明，鳞片上覆有冻结的透明黏液层，皮肤天然色泽明显。</w:t>
      </w:r>
    </w:p>
    <w:p>
      <w:pPr>
        <w:pStyle w:val="17"/>
        <w:spacing w:line="400" w:lineRule="exact"/>
        <w:ind w:firstLine="480"/>
        <w:jc w:val="left"/>
        <w:rPr>
          <w:rFonts w:hint="default"/>
          <w:color w:val="000000"/>
        </w:rPr>
      </w:pPr>
      <w:r>
        <w:rPr>
          <w:color w:val="000000"/>
          <w:sz w:val="24"/>
        </w:rPr>
        <w:t>（5）冷冻禽类食品解冻后净重量不少于90％，冷冻肉类食品解冻后净重量不少于92%，冷冻水产类食品解冻后净重量不少于 85%，解冻时间为 4 小时以内（室温 20℃）。</w:t>
      </w:r>
      <w:r>
        <w:rPr>
          <w:rFonts w:hint="default"/>
          <w:color w:val="000000"/>
          <w:lang w:eastAsia="zh-CN"/>
        </w:rPr>
        <w:br w:type="textWrapping"/>
      </w:r>
      <w:r>
        <w:rPr>
          <w:rFonts w:hint="eastAsia"/>
          <w:color w:val="000000"/>
          <w:lang w:val="en-US" w:eastAsia="zh-CN"/>
        </w:rPr>
        <w:t xml:space="preserve">     </w:t>
      </w:r>
      <w:r>
        <w:rPr>
          <w:color w:val="000000"/>
          <w:sz w:val="24"/>
        </w:rPr>
        <w:t>（</w:t>
      </w:r>
      <w:r>
        <w:rPr>
          <w:rFonts w:hint="eastAsia"/>
          <w:color w:val="000000"/>
          <w:sz w:val="24"/>
          <w:lang w:val="en-US" w:eastAsia="zh-CN"/>
        </w:rPr>
        <w:t>6</w:t>
      </w:r>
      <w:r>
        <w:rPr>
          <w:color w:val="000000"/>
          <w:sz w:val="24"/>
        </w:rPr>
        <w:t>）熟食包括烧鸡、烧鸭、烧鹅等。熟食（特别是鲜制熟食）保质期较短，保鲜要求高，供应的熟食需保证产品的品质。</w:t>
      </w:r>
    </w:p>
    <w:p>
      <w:pPr>
        <w:pStyle w:val="17"/>
        <w:spacing w:line="400" w:lineRule="exact"/>
        <w:ind w:firstLine="480"/>
        <w:jc w:val="left"/>
        <w:rPr>
          <w:rFonts w:hint="default"/>
          <w:color w:val="000000"/>
        </w:rPr>
      </w:pPr>
      <w:r>
        <w:rPr>
          <w:b/>
          <w:color w:val="000000"/>
          <w:sz w:val="24"/>
        </w:rPr>
        <w:t>2.蔬菜瓜果类</w:t>
      </w:r>
    </w:p>
    <w:p>
      <w:pPr>
        <w:pStyle w:val="17"/>
        <w:spacing w:line="400" w:lineRule="exact"/>
        <w:ind w:firstLine="480"/>
        <w:jc w:val="left"/>
        <w:rPr>
          <w:rFonts w:hint="default"/>
          <w:color w:val="000000"/>
        </w:rPr>
      </w:pPr>
      <w:r>
        <w:rPr>
          <w:color w:val="000000"/>
          <w:sz w:val="24"/>
        </w:rPr>
        <w:t>（1）蔬菜瓜果均来自蔬菜瓜果生产基地，具体提供的品种顺应季节变化，附有合格的检测报告或快检报告，农药残留符合食品安全国家相关标准的规定。所有蔬菜瓜果在交付甲方前须经过前期处理，</w:t>
      </w:r>
      <w:r>
        <w:rPr>
          <w:color w:val="000000"/>
          <w:sz w:val="24"/>
          <w:lang w:eastAsia="zh-CN"/>
        </w:rPr>
        <w:t>所供食材物料损耗率不得高于《物料损耗表》（该表格仅作为参考，若</w:t>
      </w:r>
      <w:r>
        <w:rPr>
          <w:color w:val="000000"/>
          <w:sz w:val="24"/>
          <w:highlight w:val="none"/>
          <w:lang w:eastAsia="zh-CN"/>
        </w:rPr>
        <w:t>中标人</w:t>
      </w:r>
      <w:r>
        <w:rPr>
          <w:color w:val="000000"/>
          <w:sz w:val="24"/>
          <w:lang w:eastAsia="zh-CN"/>
        </w:rPr>
        <w:t>实际提供的食材等物料不在该表格所列范围的，则采购人有权参照该表格所列同类型物品的损耗率计算）中所列的损耗率，否则中标人应在2小时内补足物料。</w:t>
      </w:r>
    </w:p>
    <w:p>
      <w:pPr>
        <w:pStyle w:val="17"/>
        <w:spacing w:line="400" w:lineRule="exact"/>
        <w:ind w:firstLine="480"/>
        <w:jc w:val="left"/>
        <w:rPr>
          <w:rFonts w:hint="default"/>
          <w:color w:val="000000"/>
        </w:rPr>
      </w:pPr>
      <w:r>
        <w:rPr>
          <w:color w:val="000000"/>
          <w:sz w:val="24"/>
        </w:rPr>
        <w:t>（2）蔬菜色泽具有本品种固有的颜色，大多数有发亮的光泽，具有清馨、甘辛香、甜酸香等气味，可凭嗅觉识别不同品种的质量，不允许有腐烂变质的亚硝酸盐味和其他异常气味，不允许有因萎蔫、枯塌、损伤、病变、虫害侵蚀等引起的非正常、不新鲜的蔬菜。</w:t>
      </w:r>
    </w:p>
    <w:p>
      <w:pPr>
        <w:pStyle w:val="17"/>
        <w:spacing w:line="400" w:lineRule="exact"/>
        <w:ind w:firstLine="480"/>
        <w:jc w:val="left"/>
        <w:rPr>
          <w:rFonts w:hint="default"/>
          <w:color w:val="000000"/>
        </w:rPr>
      </w:pPr>
      <w:r>
        <w:rPr>
          <w:color w:val="000000"/>
          <w:sz w:val="24"/>
        </w:rPr>
        <w:t>（3）水果应当色泽光鲜、水润饱满、无腐烂，果品表面清洁新鲜，无病虫害和机械损伤，带有芳香味。</w:t>
      </w:r>
    </w:p>
    <w:p>
      <w:pPr>
        <w:pStyle w:val="17"/>
        <w:spacing w:line="400" w:lineRule="exact"/>
        <w:ind w:firstLine="480"/>
        <w:jc w:val="left"/>
        <w:rPr>
          <w:rFonts w:hint="default"/>
          <w:color w:val="000000"/>
        </w:rPr>
      </w:pPr>
      <w:r>
        <w:rPr>
          <w:b/>
          <w:color w:val="000000"/>
          <w:sz w:val="24"/>
        </w:rPr>
        <w:t>3.粮油类、调味品类</w:t>
      </w:r>
    </w:p>
    <w:p>
      <w:pPr>
        <w:pStyle w:val="17"/>
        <w:spacing w:line="400" w:lineRule="exact"/>
        <w:ind w:firstLine="480"/>
        <w:jc w:val="left"/>
        <w:rPr>
          <w:rFonts w:hint="default"/>
          <w:color w:val="000000"/>
        </w:rPr>
      </w:pPr>
      <w:r>
        <w:rPr>
          <w:color w:val="000000"/>
          <w:sz w:val="24"/>
        </w:rPr>
        <w:t>粮油类、调味品类要提供附有合格检验报告、标识齐全、保质期至少还有三个月以上的预包装食品。散装豆类要提供生产厂家营业执照、产品检验合格证书。乙方所提供产品质量须要符合行业标准要求，不得有掺假、变质、变味、过期等现象出现，严禁提供伪劣、假冒、无证不合格产品。</w:t>
      </w:r>
    </w:p>
    <w:p>
      <w:pPr>
        <w:pStyle w:val="17"/>
        <w:spacing w:line="400" w:lineRule="exact"/>
        <w:ind w:firstLine="480"/>
        <w:jc w:val="left"/>
        <w:rPr>
          <w:rFonts w:hint="default"/>
          <w:color w:val="000000"/>
        </w:rPr>
      </w:pPr>
      <w:r>
        <w:rPr>
          <w:b/>
          <w:color w:val="000000"/>
          <w:sz w:val="24"/>
        </w:rPr>
        <w:t>4.干货制品</w:t>
      </w:r>
    </w:p>
    <w:p>
      <w:pPr>
        <w:pStyle w:val="17"/>
        <w:spacing w:line="400" w:lineRule="exact"/>
        <w:ind w:firstLine="480"/>
        <w:jc w:val="left"/>
        <w:rPr>
          <w:rFonts w:hint="default"/>
          <w:color w:val="000000"/>
        </w:rPr>
      </w:pPr>
      <w:r>
        <w:rPr>
          <w:color w:val="000000"/>
          <w:sz w:val="24"/>
        </w:rPr>
        <w:t>干货制品的质量基本标准要求符合国家相关行业标准，干爽，不霉烂、整齐、均匀、完整，无虫蛀、无杂质，保持应有的色泽。确保产品质量稳定，保证营养丰富、绿色安全、海味浓郁、易存放、食用方便。从加工、包装、运输、贮存到销售全部符合国家规定标准，尤其是二氧化硫残留量、总砷含量不超过国家卫生标准；木耳类的水分含量不能超过国家标准要求。</w:t>
      </w:r>
    </w:p>
    <w:p>
      <w:pPr>
        <w:pStyle w:val="17"/>
        <w:spacing w:line="400" w:lineRule="exact"/>
        <w:ind w:firstLine="480"/>
        <w:jc w:val="left"/>
        <w:rPr>
          <w:rFonts w:hint="default"/>
          <w:color w:val="000000"/>
        </w:rPr>
      </w:pPr>
      <w:r>
        <w:rPr>
          <w:color w:val="000000"/>
          <w:sz w:val="24"/>
        </w:rPr>
        <w:t>5.乙方所提供的货物需满足招标文件及本合同要求。保证合同货品均为正规的厂家生产的全新、合格以上、无侵权货品，符合国家有关质量、包装标准，有使用有效期的货品其剩余有效期不得少于标注有效期的1/2。乙方提供假冒伪劣过期产品的，一经发现，除乙方应当无条件退货或换货外,还应当按本合同约定承担违约责任以及相关法律法规规定的法律责任。</w:t>
      </w:r>
    </w:p>
    <w:p>
      <w:pPr>
        <w:pStyle w:val="17"/>
        <w:spacing w:line="400" w:lineRule="exact"/>
        <w:ind w:firstLine="480"/>
        <w:jc w:val="left"/>
        <w:rPr>
          <w:rFonts w:hint="default"/>
          <w:color w:val="000000"/>
        </w:rPr>
      </w:pPr>
      <w:r>
        <w:rPr>
          <w:b/>
          <w:color w:val="000000"/>
          <w:sz w:val="24"/>
        </w:rPr>
        <w:t>第二条合同期限、项目费用及支付方式</w:t>
      </w:r>
    </w:p>
    <w:p>
      <w:pPr>
        <w:pStyle w:val="17"/>
        <w:spacing w:line="400" w:lineRule="exact"/>
        <w:ind w:firstLine="480"/>
        <w:jc w:val="left"/>
        <w:rPr>
          <w:rFonts w:hint="eastAsia" w:eastAsia="宋体"/>
          <w:color w:val="000000"/>
          <w:sz w:val="24"/>
          <w:lang w:eastAsia="zh-CN"/>
        </w:rPr>
      </w:pPr>
      <w:r>
        <w:rPr>
          <w:color w:val="000000"/>
          <w:sz w:val="24"/>
        </w:rPr>
        <w:t>（一）乙方向甲方提供货物的合同期限为</w:t>
      </w:r>
      <w:r>
        <w:rPr>
          <w:color w:val="000000"/>
          <w:sz w:val="24"/>
          <w:u w:val="single"/>
          <w:lang w:eastAsia="zh-CN"/>
        </w:rPr>
        <w:t>自本合同签订生效之日起至2026年</w:t>
      </w:r>
      <w:r>
        <w:rPr>
          <w:rFonts w:hint="eastAsia"/>
          <w:color w:val="000000"/>
          <w:sz w:val="24"/>
          <w:u w:val="single"/>
          <w:lang w:val="en-US" w:eastAsia="zh-CN"/>
        </w:rPr>
        <w:t>7</w:t>
      </w:r>
      <w:r>
        <w:rPr>
          <w:color w:val="000000"/>
          <w:sz w:val="24"/>
          <w:u w:val="single"/>
          <w:lang w:eastAsia="zh-CN"/>
        </w:rPr>
        <w:t>月31日</w:t>
      </w:r>
      <w:r>
        <w:rPr>
          <w:color w:val="000000"/>
          <w:sz w:val="24"/>
          <w:lang w:eastAsia="zh-CN"/>
        </w:rPr>
        <w:t>或项目</w:t>
      </w:r>
      <w:r>
        <w:rPr>
          <w:color w:val="000000"/>
          <w:sz w:val="24"/>
        </w:rPr>
        <w:t>预算用尽</w:t>
      </w:r>
      <w:r>
        <w:rPr>
          <w:color w:val="000000"/>
          <w:sz w:val="24"/>
          <w:lang w:eastAsia="zh-CN"/>
        </w:rPr>
        <w:t>为止</w:t>
      </w:r>
      <w:r>
        <w:rPr>
          <w:rFonts w:hint="eastAsia"/>
          <w:color w:val="000000"/>
          <w:sz w:val="24"/>
          <w:lang w:eastAsia="zh-CN"/>
        </w:rPr>
        <w:t>（以先达到的为准）。</w:t>
      </w:r>
    </w:p>
    <w:p>
      <w:pPr>
        <w:pStyle w:val="17"/>
        <w:spacing w:line="400" w:lineRule="exact"/>
        <w:ind w:firstLine="480"/>
        <w:jc w:val="left"/>
        <w:rPr>
          <w:rFonts w:hint="default"/>
          <w:color w:val="000000"/>
        </w:rPr>
      </w:pPr>
      <w:r>
        <w:rPr>
          <w:color w:val="000000"/>
          <w:sz w:val="24"/>
        </w:rPr>
        <w:t>（二）甲方指定的供货地点为江门市蓬江区东华二路7号和星河路36号。</w:t>
      </w:r>
    </w:p>
    <w:p>
      <w:pPr>
        <w:pStyle w:val="17"/>
        <w:spacing w:line="400" w:lineRule="exact"/>
        <w:ind w:firstLine="480"/>
        <w:jc w:val="left"/>
        <w:rPr>
          <w:rFonts w:hint="default"/>
          <w:color w:val="000000"/>
        </w:rPr>
      </w:pPr>
      <w:r>
        <w:rPr>
          <w:color w:val="000000"/>
          <w:sz w:val="24"/>
        </w:rPr>
        <w:t>（三）项目费用</w:t>
      </w:r>
    </w:p>
    <w:p>
      <w:pPr>
        <w:pStyle w:val="17"/>
        <w:spacing w:line="400" w:lineRule="exact"/>
        <w:ind w:firstLine="480"/>
        <w:jc w:val="left"/>
        <w:rPr>
          <w:rFonts w:hint="default"/>
          <w:color w:val="000000"/>
        </w:rPr>
      </w:pPr>
      <w:r>
        <w:rPr>
          <w:color w:val="000000"/>
          <w:sz w:val="24"/>
        </w:rPr>
        <w:t>1.项目费用总价：甲方采购货物的项目预算（即项目总费用、含税价）为人民币</w:t>
      </w:r>
      <w:r>
        <w:rPr>
          <w:rFonts w:hint="eastAsia"/>
          <w:color w:val="000000"/>
          <w:sz w:val="24"/>
          <w:lang w:val="en-US" w:eastAsia="zh-CN"/>
        </w:rPr>
        <w:t>伍拾肆万陆仟捌佰</w:t>
      </w:r>
      <w:r>
        <w:rPr>
          <w:color w:val="000000"/>
          <w:sz w:val="24"/>
        </w:rPr>
        <w:t>元整（￥</w:t>
      </w:r>
      <w:r>
        <w:rPr>
          <w:rFonts w:hint="eastAsia"/>
          <w:color w:val="000000"/>
          <w:sz w:val="24"/>
          <w:lang w:val="en-US" w:eastAsia="zh-CN"/>
        </w:rPr>
        <w:t>546800.00</w:t>
      </w:r>
      <w:r>
        <w:rPr>
          <w:color w:val="000000"/>
          <w:sz w:val="24"/>
        </w:rPr>
        <w:t>元），实际项目费用以甲方实际采购货物并经双方结算的金额为准。</w:t>
      </w:r>
    </w:p>
    <w:p>
      <w:pPr>
        <w:pStyle w:val="17"/>
        <w:spacing w:line="400" w:lineRule="exact"/>
        <w:ind w:firstLine="480"/>
        <w:jc w:val="left"/>
        <w:rPr>
          <w:rFonts w:hint="default"/>
          <w:color w:val="000000"/>
          <w:sz w:val="24"/>
        </w:rPr>
      </w:pPr>
      <w:r>
        <w:rPr>
          <w:color w:val="000000"/>
          <w:sz w:val="24"/>
        </w:rPr>
        <w:t>2.计价方式：</w:t>
      </w:r>
    </w:p>
    <w:p>
      <w:pPr>
        <w:pStyle w:val="17"/>
        <w:numPr>
          <w:ilvl w:val="0"/>
          <w:numId w:val="0"/>
        </w:numPr>
        <w:spacing w:line="400" w:lineRule="exact"/>
        <w:ind w:firstLine="480"/>
        <w:jc w:val="left"/>
        <w:rPr>
          <w:rFonts w:hint="default"/>
          <w:color w:val="000000"/>
          <w:sz w:val="24"/>
          <w:lang w:eastAsia="zh-CN"/>
        </w:rPr>
      </w:pPr>
      <w:r>
        <w:rPr>
          <w:color w:val="000000"/>
          <w:sz w:val="24"/>
          <w:lang w:eastAsia="zh-CN"/>
        </w:rPr>
        <w:t>（1）每半自然月为一个采购报价周期。</w:t>
      </w:r>
    </w:p>
    <w:p>
      <w:pPr>
        <w:pStyle w:val="17"/>
        <w:numPr>
          <w:ilvl w:val="0"/>
          <w:numId w:val="0"/>
        </w:numPr>
        <w:spacing w:line="400" w:lineRule="exact"/>
        <w:ind w:firstLine="480"/>
        <w:jc w:val="left"/>
        <w:rPr>
          <w:rFonts w:hint="default"/>
          <w:color w:val="000000"/>
          <w:sz w:val="24"/>
        </w:rPr>
      </w:pPr>
      <w:r>
        <w:rPr>
          <w:color w:val="000000"/>
          <w:sz w:val="24"/>
          <w:lang w:eastAsia="zh-CN"/>
        </w:rPr>
        <w:t>（2）</w:t>
      </w:r>
      <w:r>
        <w:rPr>
          <w:color w:val="000000"/>
          <w:sz w:val="24"/>
        </w:rPr>
        <w:t>以江门市发展和改革局中公布的江门市菜篮子报价市区价格为基准价格，投标人以优惠率形式进行报价。优惠率的报价不得大于或等于100%，不能为负数，否则被视为无效响应。</w:t>
      </w:r>
    </w:p>
    <w:p>
      <w:pPr>
        <w:pStyle w:val="17"/>
        <w:numPr>
          <w:ilvl w:val="0"/>
          <w:numId w:val="0"/>
        </w:numPr>
        <w:spacing w:line="400" w:lineRule="exact"/>
        <w:ind w:firstLine="480"/>
        <w:jc w:val="left"/>
        <w:rPr>
          <w:rFonts w:hint="default"/>
          <w:color w:val="000000"/>
          <w:sz w:val="24"/>
        </w:rPr>
      </w:pPr>
      <w:r>
        <w:rPr>
          <w:color w:val="000000"/>
          <w:sz w:val="24"/>
          <w:lang w:eastAsia="zh-CN"/>
        </w:rPr>
        <w:t>（3）</w:t>
      </w:r>
      <w:r>
        <w:rPr>
          <w:color w:val="000000"/>
          <w:sz w:val="24"/>
        </w:rPr>
        <w:t>每个采购周期开始前，采购人以江门市发展和改革局中公布的</w:t>
      </w:r>
      <w:r>
        <w:rPr>
          <w:color w:val="000000"/>
          <w:sz w:val="24"/>
          <w:lang w:eastAsia="zh-CN"/>
        </w:rPr>
        <w:t>《</w:t>
      </w:r>
      <w:r>
        <w:rPr>
          <w:color w:val="000000"/>
          <w:sz w:val="24"/>
        </w:rPr>
        <w:t>江门市一周“菜篮子”价格动态</w:t>
      </w:r>
      <w:r>
        <w:rPr>
          <w:color w:val="000000"/>
          <w:sz w:val="24"/>
          <w:lang w:eastAsia="zh-CN"/>
        </w:rPr>
        <w:t>》中的</w:t>
      </w:r>
      <w:r>
        <w:rPr>
          <w:color w:val="000000"/>
          <w:sz w:val="24"/>
        </w:rPr>
        <w:t>市区价格（定价日当天没有公布价格的，以最近一次日期公布的价格作为参照）为本采购周期货物的预算价。按中标折扣率计算每个货物品种的各产品单价。采购人按</w:t>
      </w:r>
      <w:r>
        <w:rPr>
          <w:color w:val="000000"/>
          <w:sz w:val="24"/>
          <w:lang w:eastAsia="zh-CN"/>
        </w:rPr>
        <w:t>产品</w:t>
      </w:r>
      <w:r>
        <w:rPr>
          <w:color w:val="000000"/>
          <w:sz w:val="24"/>
        </w:rPr>
        <w:t>单价向中标供应商下采购订单。中标供应商按采购订单的内容和要求供货。</w:t>
      </w:r>
      <w:r>
        <w:rPr>
          <w:color w:val="000000"/>
          <w:sz w:val="24"/>
          <w:lang w:eastAsia="zh-CN"/>
        </w:rPr>
        <w:t>产品</w:t>
      </w:r>
      <w:r>
        <w:rPr>
          <w:color w:val="000000"/>
          <w:sz w:val="24"/>
        </w:rPr>
        <w:t xml:space="preserve">单价在当次采购周期内保持不变。 </w:t>
      </w:r>
    </w:p>
    <w:p>
      <w:pPr>
        <w:pStyle w:val="17"/>
        <w:spacing w:line="400" w:lineRule="exact"/>
        <w:ind w:firstLine="480"/>
        <w:jc w:val="left"/>
        <w:rPr>
          <w:rFonts w:hint="default"/>
          <w:color w:val="000000"/>
          <w:sz w:val="24"/>
        </w:rPr>
      </w:pPr>
      <w:r>
        <w:rPr>
          <w:color w:val="000000"/>
          <w:sz w:val="24"/>
        </w:rPr>
        <w:t>（4）结算公式：结算价=</w:t>
      </w:r>
      <w:r>
        <w:rPr>
          <w:color w:val="000000"/>
          <w:sz w:val="24"/>
          <w:lang w:eastAsia="zh-CN"/>
        </w:rPr>
        <w:t>供货</w:t>
      </w:r>
      <w:r>
        <w:rPr>
          <w:color w:val="000000"/>
          <w:sz w:val="24"/>
        </w:rPr>
        <w:t>单价×实际供货量</w:t>
      </w:r>
      <w:r>
        <w:rPr>
          <w:color w:val="000000"/>
          <w:sz w:val="24"/>
          <w:lang w:eastAsia="zh-CN"/>
        </w:rPr>
        <w:t>（毛重）</w:t>
      </w:r>
      <w:r>
        <w:rPr>
          <w:color w:val="000000"/>
          <w:sz w:val="24"/>
        </w:rPr>
        <w:t>×</w:t>
      </w:r>
      <w:r>
        <w:rPr>
          <w:color w:val="000000"/>
          <w:sz w:val="24"/>
          <w:lang w:eastAsia="zh-CN"/>
        </w:rPr>
        <w:t>中标折扣率</w:t>
      </w:r>
      <w:r>
        <w:rPr>
          <w:color w:val="000000"/>
          <w:sz w:val="24"/>
        </w:rPr>
        <w:t xml:space="preserve">。 </w:t>
      </w:r>
    </w:p>
    <w:p>
      <w:pPr>
        <w:pStyle w:val="17"/>
        <w:numPr>
          <w:ilvl w:val="0"/>
          <w:numId w:val="0"/>
        </w:numPr>
        <w:spacing w:line="400" w:lineRule="exact"/>
        <w:ind w:firstLine="480"/>
        <w:jc w:val="left"/>
        <w:rPr>
          <w:rFonts w:hint="default"/>
          <w:color w:val="000000"/>
          <w:sz w:val="24"/>
          <w:lang w:eastAsia="zh-CN"/>
        </w:rPr>
      </w:pPr>
      <w:r>
        <w:rPr>
          <w:color w:val="000000"/>
          <w:sz w:val="24"/>
          <w:lang w:eastAsia="zh-CN"/>
        </w:rPr>
        <w:t>（5）若采购人以毛重数量对食材物料下单（毛重凭证有中标人提供），中标人以净重数量提供货物的，中标人所供食材物料损耗率不得高于《物料损耗表》（该表格仅作为参考，若中标人实际提供的食材等物料不在该表格所列范围的，则采购人有权参照该表格所列同类型物品的损耗率计算）中所列的损耗率，否则中标人应在2小时内补足物料。</w:t>
      </w:r>
      <w:r>
        <w:rPr>
          <w:color w:val="000000"/>
          <w:sz w:val="24"/>
          <w:lang w:eastAsia="zh-CN"/>
        </w:rPr>
        <w:br w:type="textWrapping"/>
      </w:r>
      <w:r>
        <w:rPr>
          <w:color w:val="000000"/>
          <w:sz w:val="24"/>
          <w:lang w:eastAsia="zh-CN"/>
        </w:rPr>
        <w:t xml:space="preserve">    毛重是指中标人采购后未加工送至采购人处前的食材物料重量，且中标人应当自行保管好相应的毛重单据并在每月整理好单据备案报送采购人。</w:t>
      </w:r>
    </w:p>
    <w:p>
      <w:pPr>
        <w:pStyle w:val="17"/>
        <w:numPr>
          <w:ilvl w:val="0"/>
          <w:numId w:val="0"/>
        </w:numPr>
        <w:spacing w:line="400" w:lineRule="exact"/>
        <w:ind w:firstLine="480"/>
        <w:jc w:val="left"/>
        <w:rPr>
          <w:rFonts w:hint="default"/>
          <w:color w:val="000000"/>
          <w:sz w:val="24"/>
        </w:rPr>
      </w:pPr>
      <w:r>
        <w:rPr>
          <w:color w:val="000000"/>
          <w:sz w:val="24"/>
          <w:lang w:eastAsia="zh-CN"/>
        </w:rPr>
        <w:t>损耗率计算方式：</w:t>
      </w:r>
      <w:r>
        <w:rPr>
          <w:rFonts w:hint="eastAsia"/>
          <w:color w:val="000000"/>
          <w:sz w:val="24"/>
          <w:lang w:eastAsia="zh-CN"/>
        </w:rPr>
        <w:t>（毛重</w:t>
      </w:r>
      <w:r>
        <w:rPr>
          <w:rFonts w:hint="eastAsia"/>
          <w:color w:val="000000"/>
          <w:sz w:val="24"/>
          <w:lang w:val="en-US" w:eastAsia="zh-CN"/>
        </w:rPr>
        <w:t>-</w:t>
      </w:r>
      <w:r>
        <w:rPr>
          <w:color w:val="000000"/>
          <w:sz w:val="24"/>
          <w:lang w:eastAsia="zh-CN"/>
        </w:rPr>
        <w:t>净重</w:t>
      </w:r>
      <w:r>
        <w:rPr>
          <w:rFonts w:hint="eastAsia"/>
          <w:color w:val="000000"/>
          <w:sz w:val="24"/>
          <w:lang w:eastAsia="zh-CN"/>
        </w:rPr>
        <w:t>）</w:t>
      </w:r>
      <w:r>
        <w:rPr>
          <w:color w:val="000000"/>
          <w:sz w:val="24"/>
          <w:lang w:eastAsia="zh-CN"/>
        </w:rPr>
        <w:t>÷毛重×100%。</w:t>
      </w:r>
    </w:p>
    <w:p>
      <w:pPr>
        <w:pStyle w:val="17"/>
        <w:numPr>
          <w:ilvl w:val="0"/>
          <w:numId w:val="0"/>
        </w:numPr>
        <w:spacing w:line="400" w:lineRule="exact"/>
        <w:ind w:firstLine="480"/>
        <w:jc w:val="left"/>
        <w:rPr>
          <w:rFonts w:hint="default"/>
          <w:color w:val="000000"/>
          <w:sz w:val="24"/>
        </w:rPr>
      </w:pPr>
      <w:r>
        <w:rPr>
          <w:color w:val="000000"/>
          <w:sz w:val="24"/>
        </w:rPr>
        <w:t>当采购</w:t>
      </w:r>
      <w:r>
        <w:rPr>
          <w:color w:val="000000"/>
          <w:sz w:val="24"/>
          <w:lang w:eastAsia="zh-CN"/>
        </w:rPr>
        <w:t>品种为《江门市一周“菜篮子”价格动态》中未公布的品种，则参照同类及相近品种产品</w:t>
      </w:r>
      <w:r>
        <w:rPr>
          <w:rFonts w:hint="eastAsia"/>
          <w:color w:val="000000"/>
          <w:sz w:val="24"/>
          <w:lang w:eastAsia="zh-CN"/>
        </w:rPr>
        <w:t>的</w:t>
      </w:r>
      <w:r>
        <w:rPr>
          <w:color w:val="000000"/>
          <w:sz w:val="24"/>
          <w:lang w:eastAsia="zh-CN"/>
        </w:rPr>
        <w:t>江门市超市（大昌</w:t>
      </w:r>
      <w:r>
        <w:rPr>
          <w:rFonts w:hint="eastAsia"/>
          <w:color w:val="000000"/>
          <w:sz w:val="24"/>
          <w:lang w:eastAsia="zh-CN"/>
        </w:rPr>
        <w:t>或</w:t>
      </w:r>
      <w:r>
        <w:rPr>
          <w:color w:val="000000"/>
          <w:sz w:val="24"/>
          <w:lang w:eastAsia="zh-CN"/>
        </w:rPr>
        <w:t>永利超市）正价商品的</w:t>
      </w:r>
      <w:r>
        <w:rPr>
          <w:rFonts w:hint="eastAsia"/>
          <w:color w:val="000000"/>
          <w:sz w:val="24"/>
          <w:lang w:eastAsia="zh-CN"/>
        </w:rPr>
        <w:t>同期</w:t>
      </w:r>
      <w:r>
        <w:rPr>
          <w:color w:val="000000"/>
          <w:sz w:val="24"/>
          <w:lang w:eastAsia="zh-CN"/>
        </w:rPr>
        <w:t>价格为基准价（类比参照物由采购人确定，若《</w:t>
      </w:r>
      <w:r>
        <w:rPr>
          <w:color w:val="000000"/>
          <w:sz w:val="24"/>
        </w:rPr>
        <w:t>江门市一周“菜篮子”价格动态</w:t>
      </w:r>
      <w:r>
        <w:rPr>
          <w:color w:val="000000"/>
          <w:sz w:val="24"/>
          <w:lang w:eastAsia="zh-CN"/>
        </w:rPr>
        <w:t>》、大昌</w:t>
      </w:r>
      <w:r>
        <w:rPr>
          <w:rFonts w:hint="eastAsia"/>
          <w:color w:val="000000"/>
          <w:sz w:val="24"/>
          <w:lang w:eastAsia="zh-CN"/>
        </w:rPr>
        <w:t>或</w:t>
      </w:r>
      <w:r>
        <w:rPr>
          <w:color w:val="000000"/>
          <w:sz w:val="24"/>
          <w:lang w:eastAsia="zh-CN"/>
        </w:rPr>
        <w:t>永利超市（以下简称</w:t>
      </w:r>
      <w:r>
        <w:rPr>
          <w:rFonts w:hint="eastAsia"/>
          <w:color w:val="000000"/>
          <w:sz w:val="24"/>
          <w:lang w:val="en-US" w:eastAsia="zh-CN"/>
        </w:rPr>
        <w:t>3</w:t>
      </w:r>
      <w:r>
        <w:rPr>
          <w:color w:val="000000"/>
          <w:sz w:val="24"/>
          <w:lang w:eastAsia="zh-CN"/>
        </w:rPr>
        <w:t>平台）没有提供同一时期的参照物、参照价的，则采购人可以根据中标人实际供应的货物参照</w:t>
      </w:r>
      <w:r>
        <w:rPr>
          <w:rFonts w:hint="eastAsia"/>
          <w:color w:val="000000"/>
          <w:sz w:val="24"/>
          <w:lang w:val="en-US" w:eastAsia="zh-CN"/>
        </w:rPr>
        <w:t>3</w:t>
      </w:r>
      <w:r>
        <w:rPr>
          <w:color w:val="000000"/>
          <w:sz w:val="24"/>
          <w:lang w:eastAsia="zh-CN"/>
        </w:rPr>
        <w:t>平台提供的参照物类推同类物品的价格计算相应的基准价）</w:t>
      </w:r>
      <w:r>
        <w:rPr>
          <w:color w:val="000000"/>
          <w:sz w:val="24"/>
        </w:rPr>
        <w:t>。</w:t>
      </w:r>
    </w:p>
    <w:p>
      <w:pPr>
        <w:pStyle w:val="17"/>
        <w:numPr>
          <w:ilvl w:val="0"/>
          <w:numId w:val="0"/>
        </w:numPr>
        <w:spacing w:line="400" w:lineRule="exact"/>
        <w:ind w:firstLine="480"/>
        <w:jc w:val="left"/>
        <w:rPr>
          <w:color w:val="000000"/>
          <w:sz w:val="21"/>
          <w:szCs w:val="21"/>
        </w:rPr>
      </w:pPr>
      <w:r>
        <w:rPr>
          <w:color w:val="000000"/>
          <w:sz w:val="24"/>
          <w:lang w:eastAsia="zh-CN"/>
        </w:rPr>
        <w:t>合同履行期限内，由中标人每月15日及当月的最后一天前报送所供应给采购人的食材物料在当期最近一次《</w:t>
      </w:r>
      <w:r>
        <w:rPr>
          <w:color w:val="000000"/>
          <w:sz w:val="24"/>
        </w:rPr>
        <w:t>江门市一周“菜篮子”价格动态</w:t>
      </w:r>
      <w:r>
        <w:rPr>
          <w:color w:val="000000"/>
          <w:sz w:val="24"/>
          <w:lang w:eastAsia="zh-CN"/>
        </w:rPr>
        <w:t>》、同类及相近品种产品</w:t>
      </w:r>
      <w:r>
        <w:rPr>
          <w:rFonts w:hint="eastAsia"/>
          <w:color w:val="000000"/>
          <w:sz w:val="24"/>
          <w:lang w:eastAsia="zh-CN"/>
        </w:rPr>
        <w:t>的</w:t>
      </w:r>
      <w:r>
        <w:rPr>
          <w:color w:val="000000"/>
          <w:sz w:val="24"/>
          <w:lang w:eastAsia="zh-CN"/>
        </w:rPr>
        <w:t>江门市超市（大昌</w:t>
      </w:r>
      <w:r>
        <w:rPr>
          <w:rFonts w:hint="eastAsia"/>
          <w:color w:val="000000"/>
          <w:sz w:val="24"/>
          <w:lang w:eastAsia="zh-CN"/>
        </w:rPr>
        <w:t>或</w:t>
      </w:r>
      <w:r>
        <w:rPr>
          <w:color w:val="000000"/>
          <w:sz w:val="24"/>
          <w:lang w:eastAsia="zh-CN"/>
        </w:rPr>
        <w:t>永利超市）等（以下统称参照基准物品类、单价）相关品类、单价给采购人备案；若中标人无法提供参照基准物品类、单价的，采购人有权按照参照基准物品类、单价确定基准价。</w:t>
      </w:r>
      <w:r>
        <w:rPr>
          <w:color w:val="000000"/>
          <w:sz w:val="24"/>
        </w:rPr>
        <w:t xml:space="preserve">  </w:t>
      </w:r>
      <w:r>
        <w:rPr>
          <w:color w:val="000000"/>
          <w:sz w:val="21"/>
          <w:szCs w:val="21"/>
        </w:rPr>
        <w:t xml:space="preserve">  </w:t>
      </w:r>
    </w:p>
    <w:p>
      <w:pPr>
        <w:pStyle w:val="17"/>
        <w:numPr>
          <w:ilvl w:val="0"/>
          <w:numId w:val="0"/>
        </w:numPr>
        <w:spacing w:line="400" w:lineRule="exact"/>
        <w:ind w:firstLine="480"/>
        <w:jc w:val="left"/>
        <w:rPr>
          <w:color w:val="000000"/>
          <w:sz w:val="21"/>
          <w:szCs w:val="21"/>
        </w:rPr>
      </w:pPr>
    </w:p>
    <w:p>
      <w:pPr>
        <w:pStyle w:val="17"/>
        <w:numPr>
          <w:ilvl w:val="0"/>
          <w:numId w:val="0"/>
        </w:numPr>
        <w:spacing w:line="400" w:lineRule="exact"/>
        <w:ind w:firstLine="480"/>
        <w:jc w:val="left"/>
        <w:rPr>
          <w:color w:val="000000"/>
          <w:sz w:val="21"/>
          <w:szCs w:val="21"/>
        </w:rPr>
      </w:pPr>
    </w:p>
    <w:p>
      <w:pPr>
        <w:pStyle w:val="17"/>
        <w:numPr>
          <w:ilvl w:val="0"/>
          <w:numId w:val="0"/>
        </w:numPr>
        <w:spacing w:line="400" w:lineRule="exact"/>
        <w:ind w:firstLine="480"/>
        <w:jc w:val="left"/>
        <w:rPr>
          <w:color w:val="000000"/>
          <w:sz w:val="21"/>
          <w:szCs w:val="21"/>
        </w:rPr>
      </w:pPr>
    </w:p>
    <w:p>
      <w:pPr>
        <w:pStyle w:val="17"/>
        <w:numPr>
          <w:ilvl w:val="0"/>
          <w:numId w:val="0"/>
        </w:numPr>
        <w:spacing w:line="400" w:lineRule="exact"/>
        <w:ind w:firstLine="480"/>
        <w:jc w:val="left"/>
        <w:rPr>
          <w:color w:val="000000"/>
          <w:sz w:val="21"/>
          <w:szCs w:val="21"/>
        </w:rPr>
      </w:pPr>
    </w:p>
    <w:p>
      <w:pPr>
        <w:pStyle w:val="17"/>
        <w:numPr>
          <w:ilvl w:val="0"/>
          <w:numId w:val="0"/>
        </w:numPr>
        <w:spacing w:line="400" w:lineRule="exact"/>
        <w:ind w:firstLine="480"/>
        <w:jc w:val="left"/>
        <w:rPr>
          <w:color w:val="000000"/>
          <w:sz w:val="21"/>
          <w:szCs w:val="21"/>
        </w:rPr>
      </w:pPr>
    </w:p>
    <w:p>
      <w:pPr>
        <w:pStyle w:val="17"/>
        <w:numPr>
          <w:ilvl w:val="0"/>
          <w:numId w:val="0"/>
        </w:numPr>
        <w:spacing w:line="400" w:lineRule="exact"/>
        <w:ind w:firstLine="480"/>
        <w:jc w:val="left"/>
        <w:rPr>
          <w:color w:val="000000"/>
          <w:sz w:val="21"/>
          <w:szCs w:val="21"/>
        </w:rPr>
      </w:pPr>
    </w:p>
    <w:p>
      <w:pPr>
        <w:pStyle w:val="17"/>
        <w:numPr>
          <w:ilvl w:val="0"/>
          <w:numId w:val="0"/>
        </w:numPr>
        <w:spacing w:line="400" w:lineRule="exact"/>
        <w:ind w:firstLine="480"/>
        <w:jc w:val="left"/>
        <w:rPr>
          <w:color w:val="000000"/>
          <w:sz w:val="21"/>
          <w:szCs w:val="21"/>
        </w:rPr>
      </w:pPr>
    </w:p>
    <w:p>
      <w:pPr>
        <w:pStyle w:val="17"/>
        <w:numPr>
          <w:ilvl w:val="0"/>
          <w:numId w:val="0"/>
        </w:numPr>
        <w:spacing w:line="400" w:lineRule="exact"/>
        <w:ind w:firstLine="480"/>
        <w:jc w:val="left"/>
        <w:rPr>
          <w:color w:val="000000"/>
          <w:sz w:val="21"/>
          <w:szCs w:val="21"/>
        </w:rPr>
      </w:pPr>
    </w:p>
    <w:p>
      <w:pPr>
        <w:pStyle w:val="17"/>
        <w:numPr>
          <w:ilvl w:val="0"/>
          <w:numId w:val="0"/>
        </w:numPr>
        <w:spacing w:line="400" w:lineRule="exact"/>
        <w:ind w:firstLine="480"/>
        <w:jc w:val="left"/>
        <w:rPr>
          <w:color w:val="000000"/>
          <w:sz w:val="21"/>
          <w:szCs w:val="21"/>
        </w:rPr>
      </w:pPr>
    </w:p>
    <w:p>
      <w:pPr>
        <w:pStyle w:val="17"/>
        <w:numPr>
          <w:ilvl w:val="0"/>
          <w:numId w:val="0"/>
        </w:numPr>
        <w:spacing w:line="400" w:lineRule="exact"/>
        <w:ind w:firstLine="480"/>
        <w:jc w:val="left"/>
        <w:rPr>
          <w:color w:val="000000"/>
          <w:sz w:val="21"/>
          <w:szCs w:val="21"/>
        </w:rPr>
      </w:pPr>
    </w:p>
    <w:p>
      <w:pPr>
        <w:pStyle w:val="17"/>
        <w:numPr>
          <w:ilvl w:val="0"/>
          <w:numId w:val="0"/>
        </w:numPr>
        <w:spacing w:line="400" w:lineRule="exact"/>
        <w:ind w:firstLine="480"/>
        <w:jc w:val="left"/>
        <w:rPr>
          <w:color w:val="000000"/>
          <w:sz w:val="21"/>
          <w:szCs w:val="21"/>
        </w:rPr>
      </w:pPr>
    </w:p>
    <w:p>
      <w:pPr>
        <w:pStyle w:val="17"/>
        <w:numPr>
          <w:ilvl w:val="0"/>
          <w:numId w:val="0"/>
        </w:numPr>
        <w:spacing w:line="400" w:lineRule="exact"/>
        <w:ind w:firstLine="480"/>
        <w:jc w:val="left"/>
        <w:rPr>
          <w:rFonts w:hint="default"/>
          <w:color w:val="000000"/>
          <w:sz w:val="21"/>
          <w:szCs w:val="21"/>
        </w:rPr>
      </w:pPr>
    </w:p>
    <w:p>
      <w:pPr>
        <w:pStyle w:val="17"/>
        <w:numPr>
          <w:ilvl w:val="0"/>
          <w:numId w:val="0"/>
        </w:numPr>
        <w:spacing w:line="400" w:lineRule="exact"/>
        <w:ind w:firstLine="480"/>
        <w:jc w:val="left"/>
        <w:rPr>
          <w:rFonts w:hint="default"/>
          <w:color w:val="000000"/>
        </w:rPr>
      </w:pPr>
      <w:r>
        <w:rPr>
          <w:color w:val="000000"/>
          <w:sz w:val="21"/>
          <w:szCs w:val="21"/>
        </w:rPr>
        <w:t xml:space="preserve">     </w:t>
      </w:r>
    </w:p>
    <w:tbl>
      <w:tblPr>
        <w:tblStyle w:val="8"/>
        <w:tblW w:w="9959" w:type="dxa"/>
        <w:tblInd w:w="-831" w:type="dxa"/>
        <w:tblLayout w:type="fixed"/>
        <w:tblCellMar>
          <w:top w:w="0" w:type="dxa"/>
          <w:left w:w="108" w:type="dxa"/>
          <w:bottom w:w="0" w:type="dxa"/>
          <w:right w:w="108" w:type="dxa"/>
        </w:tblCellMar>
      </w:tblPr>
      <w:tblGrid>
        <w:gridCol w:w="658"/>
        <w:gridCol w:w="2743"/>
        <w:gridCol w:w="236"/>
        <w:gridCol w:w="1035"/>
        <w:gridCol w:w="1081"/>
        <w:gridCol w:w="1315"/>
        <w:gridCol w:w="679"/>
        <w:gridCol w:w="2212"/>
      </w:tblGrid>
      <w:tr>
        <w:tblPrEx>
          <w:tblCellMar>
            <w:top w:w="0" w:type="dxa"/>
            <w:left w:w="108" w:type="dxa"/>
            <w:bottom w:w="0" w:type="dxa"/>
            <w:right w:w="108" w:type="dxa"/>
          </w:tblCellMar>
        </w:tblPrEx>
        <w:trPr>
          <w:cantSplit/>
          <w:trHeight w:val="735" w:hRule="atLeast"/>
        </w:trPr>
        <w:tc>
          <w:tcPr>
            <w:tcW w:w="7734" w:type="dxa"/>
            <w:gridSpan w:val="7"/>
            <w:tcBorders>
              <w:top w:val="single" w:color="auto" w:sz="4" w:space="0"/>
              <w:left w:val="single" w:color="auto" w:sz="4" w:space="0"/>
              <w:bottom w:val="nil"/>
              <w:right w:val="nil"/>
            </w:tcBorders>
            <w:noWrap/>
            <w:vAlign w:val="center"/>
          </w:tcPr>
          <w:p>
            <w:pPr>
              <w:widowControl/>
              <w:spacing w:line="400" w:lineRule="exact"/>
              <w:jc w:val="center"/>
              <w:textAlignment w:val="center"/>
              <w:rPr>
                <w:rFonts w:ascii="宋体" w:hAnsi="宋体" w:cs="宋体"/>
                <w:color w:val="000000"/>
                <w:sz w:val="36"/>
                <w:szCs w:val="36"/>
              </w:rPr>
            </w:pPr>
            <w:r>
              <w:rPr>
                <w:rFonts w:hint="eastAsia"/>
                <w:color w:val="000000"/>
                <w:kern w:val="0"/>
                <w:sz w:val="32"/>
                <w:szCs w:val="32"/>
                <w:lang w:eastAsia="zh-Hans"/>
              </w:rPr>
              <w:t>物料损耗表</w:t>
            </w:r>
          </w:p>
        </w:tc>
        <w:tc>
          <w:tcPr>
            <w:tcW w:w="2225" w:type="dxa"/>
            <w:tcBorders>
              <w:top w:val="single" w:color="auto" w:sz="4" w:space="0"/>
              <w:left w:val="nil"/>
              <w:bottom w:val="nil"/>
              <w:right w:val="single" w:color="auto" w:sz="4" w:space="0"/>
            </w:tcBorders>
            <w:noWrap/>
            <w:vAlign w:val="center"/>
          </w:tcPr>
          <w:p>
            <w:pPr>
              <w:spacing w:line="400" w:lineRule="exact"/>
              <w:jc w:val="center"/>
              <w:rPr>
                <w:rFonts w:ascii="宋体" w:hAnsi="宋体" w:cs="宋体"/>
                <w:color w:val="000000"/>
                <w:sz w:val="22"/>
                <w:szCs w:val="22"/>
              </w:rPr>
            </w:pPr>
          </w:p>
        </w:tc>
      </w:tr>
      <w:tr>
        <w:tblPrEx>
          <w:tblCellMar>
            <w:top w:w="0" w:type="dxa"/>
            <w:left w:w="108" w:type="dxa"/>
            <w:bottom w:w="0" w:type="dxa"/>
            <w:right w:w="108" w:type="dxa"/>
          </w:tblCellMar>
        </w:tblPrEx>
        <w:trPr>
          <w:cantSplit/>
          <w:trHeight w:val="505" w:hRule="atLeast"/>
        </w:trPr>
        <w:tc>
          <w:tcPr>
            <w:tcW w:w="661" w:type="dxa"/>
            <w:tcBorders>
              <w:top w:val="nil"/>
              <w:left w:val="single" w:color="auto" w:sz="4" w:space="0"/>
              <w:bottom w:val="single" w:color="auto" w:sz="4" w:space="0"/>
              <w:right w:val="nil"/>
            </w:tcBorders>
            <w:noWrap/>
            <w:vAlign w:val="center"/>
          </w:tcPr>
          <w:p>
            <w:pPr>
              <w:spacing w:line="400" w:lineRule="exact"/>
              <w:jc w:val="center"/>
              <w:rPr>
                <w:rFonts w:ascii="宋体" w:hAnsi="宋体" w:cs="宋体"/>
                <w:color w:val="000000"/>
                <w:sz w:val="36"/>
                <w:szCs w:val="36"/>
              </w:rPr>
            </w:pPr>
          </w:p>
        </w:tc>
        <w:tc>
          <w:tcPr>
            <w:tcW w:w="2759" w:type="dxa"/>
            <w:tcBorders>
              <w:top w:val="nil"/>
              <w:left w:val="nil"/>
              <w:bottom w:val="single" w:color="auto" w:sz="4" w:space="0"/>
              <w:right w:val="nil"/>
            </w:tcBorders>
            <w:noWrap/>
            <w:vAlign w:val="center"/>
          </w:tcPr>
          <w:p>
            <w:pPr>
              <w:widowControl/>
              <w:spacing w:line="400" w:lineRule="exact"/>
              <w:jc w:val="center"/>
              <w:textAlignment w:val="center"/>
              <w:rPr>
                <w:rFonts w:ascii="宋体" w:hAnsi="宋体" w:cs="宋体"/>
                <w:color w:val="000000"/>
                <w:sz w:val="22"/>
                <w:szCs w:val="22"/>
              </w:rPr>
            </w:pPr>
          </w:p>
        </w:tc>
        <w:tc>
          <w:tcPr>
            <w:tcW w:w="183" w:type="dxa"/>
            <w:tcBorders>
              <w:top w:val="nil"/>
              <w:left w:val="nil"/>
              <w:bottom w:val="single" w:color="auto" w:sz="4" w:space="0"/>
              <w:right w:val="nil"/>
            </w:tcBorders>
            <w:noWrap/>
            <w:vAlign w:val="center"/>
          </w:tcPr>
          <w:p>
            <w:pPr>
              <w:spacing w:line="400" w:lineRule="exact"/>
              <w:jc w:val="center"/>
              <w:rPr>
                <w:rFonts w:ascii="宋体" w:hAnsi="宋体" w:cs="宋体"/>
                <w:color w:val="000000"/>
                <w:sz w:val="28"/>
                <w:szCs w:val="28"/>
              </w:rPr>
            </w:pPr>
          </w:p>
        </w:tc>
        <w:tc>
          <w:tcPr>
            <w:tcW w:w="1040" w:type="dxa"/>
            <w:tcBorders>
              <w:top w:val="nil"/>
              <w:left w:val="nil"/>
              <w:bottom w:val="single" w:color="auto" w:sz="4" w:space="0"/>
              <w:right w:val="nil"/>
            </w:tcBorders>
            <w:noWrap/>
            <w:vAlign w:val="center"/>
          </w:tcPr>
          <w:p>
            <w:pPr>
              <w:spacing w:line="400" w:lineRule="exact"/>
              <w:jc w:val="center"/>
              <w:rPr>
                <w:rFonts w:ascii="宋体" w:hAnsi="宋体" w:cs="宋体"/>
                <w:color w:val="000000"/>
                <w:sz w:val="28"/>
                <w:szCs w:val="28"/>
              </w:rPr>
            </w:pPr>
          </w:p>
        </w:tc>
        <w:tc>
          <w:tcPr>
            <w:tcW w:w="1086" w:type="dxa"/>
            <w:tcBorders>
              <w:top w:val="nil"/>
              <w:left w:val="nil"/>
              <w:bottom w:val="single" w:color="auto" w:sz="4" w:space="0"/>
              <w:right w:val="nil"/>
            </w:tcBorders>
            <w:noWrap/>
            <w:vAlign w:val="center"/>
          </w:tcPr>
          <w:p>
            <w:pPr>
              <w:spacing w:line="400" w:lineRule="exact"/>
              <w:jc w:val="center"/>
              <w:rPr>
                <w:color w:val="000000"/>
              </w:rPr>
            </w:pPr>
          </w:p>
        </w:tc>
        <w:tc>
          <w:tcPr>
            <w:tcW w:w="1322" w:type="dxa"/>
            <w:tcBorders>
              <w:top w:val="nil"/>
              <w:left w:val="nil"/>
              <w:bottom w:val="single" w:color="auto" w:sz="4" w:space="0"/>
              <w:right w:val="nil"/>
            </w:tcBorders>
            <w:noWrap/>
            <w:vAlign w:val="center"/>
          </w:tcPr>
          <w:p>
            <w:pPr>
              <w:spacing w:line="400" w:lineRule="exact"/>
              <w:jc w:val="center"/>
              <w:rPr>
                <w:rFonts w:ascii="宋体" w:hAnsi="宋体" w:cs="宋体"/>
                <w:color w:val="000000"/>
                <w:sz w:val="28"/>
                <w:szCs w:val="28"/>
              </w:rPr>
            </w:pPr>
            <w:r>
              <w:rPr>
                <w:rFonts w:hint="eastAsia"/>
                <w:color w:val="000000"/>
                <w:kern w:val="0"/>
                <w:szCs w:val="21"/>
                <w:lang w:eastAsia="zh-Hans"/>
              </w:rPr>
              <w:t>单位：</w:t>
            </w:r>
            <w:r>
              <w:rPr>
                <w:rFonts w:hint="eastAsia"/>
                <w:color w:val="000000"/>
                <w:kern w:val="0"/>
                <w:szCs w:val="21"/>
                <w:highlight w:val="none"/>
                <w:lang w:eastAsia="zh-CN"/>
              </w:rPr>
              <w:t>市斤</w:t>
            </w:r>
          </w:p>
        </w:tc>
        <w:tc>
          <w:tcPr>
            <w:tcW w:w="2908" w:type="dxa"/>
            <w:gridSpan w:val="2"/>
            <w:tcBorders>
              <w:top w:val="nil"/>
              <w:left w:val="nil"/>
              <w:bottom w:val="single" w:color="auto" w:sz="4" w:space="0"/>
              <w:right w:val="single" w:color="auto" w:sz="4" w:space="0"/>
            </w:tcBorders>
            <w:noWrap/>
            <w:vAlign w:val="center"/>
          </w:tcPr>
          <w:p>
            <w:pPr>
              <w:widowControl/>
              <w:spacing w:line="400" w:lineRule="exact"/>
              <w:jc w:val="center"/>
              <w:textAlignment w:val="center"/>
              <w:rPr>
                <w:rFonts w:ascii="宋体" w:hAnsi="宋体" w:cs="宋体"/>
                <w:color w:val="000000"/>
                <w:sz w:val="28"/>
                <w:szCs w:val="28"/>
              </w:rPr>
            </w:pPr>
          </w:p>
        </w:tc>
      </w:tr>
      <w:tr>
        <w:tblPrEx>
          <w:tblCellMar>
            <w:top w:w="0" w:type="dxa"/>
            <w:left w:w="108" w:type="dxa"/>
            <w:bottom w:w="0" w:type="dxa"/>
            <w:right w:w="108" w:type="dxa"/>
          </w:tblCellMar>
        </w:tblPrEx>
        <w:trPr>
          <w:cantSplit/>
          <w:trHeight w:val="720" w:hRule="atLeast"/>
        </w:trPr>
        <w:tc>
          <w:tcPr>
            <w:tcW w:w="661" w:type="dxa"/>
            <w:tcBorders>
              <w:top w:val="single" w:color="auto"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序号</w:t>
            </w:r>
          </w:p>
        </w:tc>
        <w:tc>
          <w:tcPr>
            <w:tcW w:w="2759" w:type="dxa"/>
            <w:tcBorders>
              <w:top w:val="single" w:color="auto"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名称</w:t>
            </w:r>
          </w:p>
        </w:tc>
        <w:tc>
          <w:tcPr>
            <w:tcW w:w="6539" w:type="dxa"/>
            <w:gridSpan w:val="6"/>
            <w:tcBorders>
              <w:top w:val="single" w:color="auto"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损耗率（%）</w:t>
            </w:r>
          </w:p>
        </w:tc>
      </w:tr>
      <w:tr>
        <w:tblPrEx>
          <w:tblCellMar>
            <w:top w:w="0" w:type="dxa"/>
            <w:left w:w="108" w:type="dxa"/>
            <w:bottom w:w="0" w:type="dxa"/>
            <w:right w:w="108" w:type="dxa"/>
          </w:tblCellMar>
        </w:tblPrEx>
        <w:trPr>
          <w:cantSplit/>
          <w:trHeight w:val="720"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1</w:t>
            </w:r>
          </w:p>
        </w:tc>
        <w:tc>
          <w:tcPr>
            <w:tcW w:w="2759"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莴笋</w:t>
            </w:r>
          </w:p>
        </w:tc>
        <w:tc>
          <w:tcPr>
            <w:tcW w:w="6539" w:type="dxa"/>
            <w:gridSpan w:val="6"/>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6</w:t>
            </w:r>
            <w:r>
              <w:rPr>
                <w:rFonts w:hint="eastAsia"/>
                <w:color w:val="000000"/>
                <w:kern w:val="0"/>
                <w:szCs w:val="21"/>
              </w:rPr>
              <w:t>1</w:t>
            </w:r>
            <w:r>
              <w:rPr>
                <w:rFonts w:hint="eastAsia"/>
                <w:color w:val="000000"/>
                <w:kern w:val="0"/>
                <w:szCs w:val="21"/>
                <w:lang w:eastAsia="zh-Hans"/>
              </w:rPr>
              <w:t>%</w:t>
            </w:r>
          </w:p>
        </w:tc>
      </w:tr>
      <w:tr>
        <w:tblPrEx>
          <w:tblCellMar>
            <w:top w:w="0" w:type="dxa"/>
            <w:left w:w="108" w:type="dxa"/>
            <w:bottom w:w="0" w:type="dxa"/>
            <w:right w:w="108" w:type="dxa"/>
          </w:tblCellMar>
        </w:tblPrEx>
        <w:trPr>
          <w:cantSplit/>
          <w:trHeight w:val="720"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2</w:t>
            </w:r>
          </w:p>
        </w:tc>
        <w:tc>
          <w:tcPr>
            <w:tcW w:w="2759"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莲藕</w:t>
            </w:r>
          </w:p>
        </w:tc>
        <w:tc>
          <w:tcPr>
            <w:tcW w:w="6539" w:type="dxa"/>
            <w:gridSpan w:val="6"/>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23%</w:t>
            </w:r>
          </w:p>
        </w:tc>
      </w:tr>
      <w:tr>
        <w:tblPrEx>
          <w:tblCellMar>
            <w:top w:w="0" w:type="dxa"/>
            <w:left w:w="108" w:type="dxa"/>
            <w:bottom w:w="0" w:type="dxa"/>
            <w:right w:w="108" w:type="dxa"/>
          </w:tblCellMar>
        </w:tblPrEx>
        <w:trPr>
          <w:cantSplit/>
          <w:trHeight w:val="720"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3</w:t>
            </w:r>
          </w:p>
        </w:tc>
        <w:tc>
          <w:tcPr>
            <w:tcW w:w="2759"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冬瓜</w:t>
            </w:r>
          </w:p>
        </w:tc>
        <w:tc>
          <w:tcPr>
            <w:tcW w:w="6539" w:type="dxa"/>
            <w:gridSpan w:val="6"/>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1</w:t>
            </w:r>
            <w:r>
              <w:rPr>
                <w:rFonts w:hint="eastAsia"/>
                <w:color w:val="000000"/>
                <w:kern w:val="0"/>
                <w:szCs w:val="21"/>
              </w:rPr>
              <w:t>7</w:t>
            </w:r>
            <w:r>
              <w:rPr>
                <w:rFonts w:hint="eastAsia"/>
                <w:color w:val="000000"/>
                <w:kern w:val="0"/>
                <w:szCs w:val="21"/>
                <w:lang w:eastAsia="zh-Hans"/>
              </w:rPr>
              <w:t>%</w:t>
            </w:r>
          </w:p>
        </w:tc>
      </w:tr>
      <w:tr>
        <w:tblPrEx>
          <w:tblCellMar>
            <w:top w:w="0" w:type="dxa"/>
            <w:left w:w="108" w:type="dxa"/>
            <w:bottom w:w="0" w:type="dxa"/>
            <w:right w:w="108" w:type="dxa"/>
          </w:tblCellMar>
        </w:tblPrEx>
        <w:trPr>
          <w:cantSplit/>
          <w:trHeight w:val="720"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4</w:t>
            </w:r>
          </w:p>
        </w:tc>
        <w:tc>
          <w:tcPr>
            <w:tcW w:w="2759"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白萝卜</w:t>
            </w:r>
            <w:r>
              <w:rPr>
                <w:rFonts w:hint="eastAsia"/>
                <w:color w:val="000000"/>
                <w:kern w:val="0"/>
                <w:szCs w:val="21"/>
              </w:rPr>
              <w:t>/红萝卜</w:t>
            </w:r>
          </w:p>
        </w:tc>
        <w:tc>
          <w:tcPr>
            <w:tcW w:w="6539" w:type="dxa"/>
            <w:gridSpan w:val="6"/>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16%</w:t>
            </w:r>
          </w:p>
        </w:tc>
      </w:tr>
      <w:tr>
        <w:tblPrEx>
          <w:tblCellMar>
            <w:top w:w="0" w:type="dxa"/>
            <w:left w:w="108" w:type="dxa"/>
            <w:bottom w:w="0" w:type="dxa"/>
            <w:right w:w="108" w:type="dxa"/>
          </w:tblCellMar>
        </w:tblPrEx>
        <w:trPr>
          <w:cantSplit/>
          <w:trHeight w:val="720"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5</w:t>
            </w:r>
          </w:p>
        </w:tc>
        <w:tc>
          <w:tcPr>
            <w:tcW w:w="2759"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南瓜</w:t>
            </w:r>
          </w:p>
        </w:tc>
        <w:tc>
          <w:tcPr>
            <w:tcW w:w="6539" w:type="dxa"/>
            <w:gridSpan w:val="6"/>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2</w:t>
            </w:r>
            <w:r>
              <w:rPr>
                <w:rFonts w:hint="eastAsia"/>
                <w:color w:val="000000"/>
                <w:kern w:val="0"/>
                <w:szCs w:val="21"/>
              </w:rPr>
              <w:t>4</w:t>
            </w:r>
            <w:r>
              <w:rPr>
                <w:rFonts w:hint="eastAsia"/>
                <w:color w:val="000000"/>
                <w:kern w:val="0"/>
                <w:szCs w:val="21"/>
                <w:lang w:eastAsia="zh-Hans"/>
              </w:rPr>
              <w:t>%</w:t>
            </w:r>
          </w:p>
        </w:tc>
      </w:tr>
      <w:tr>
        <w:tblPrEx>
          <w:tblCellMar>
            <w:top w:w="0" w:type="dxa"/>
            <w:left w:w="108" w:type="dxa"/>
            <w:bottom w:w="0" w:type="dxa"/>
            <w:right w:w="108" w:type="dxa"/>
          </w:tblCellMar>
        </w:tblPrEx>
        <w:trPr>
          <w:cantSplit/>
          <w:trHeight w:val="720"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6</w:t>
            </w:r>
          </w:p>
        </w:tc>
        <w:tc>
          <w:tcPr>
            <w:tcW w:w="2759"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土豆</w:t>
            </w:r>
          </w:p>
        </w:tc>
        <w:tc>
          <w:tcPr>
            <w:tcW w:w="6539" w:type="dxa"/>
            <w:gridSpan w:val="6"/>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13%</w:t>
            </w:r>
          </w:p>
        </w:tc>
      </w:tr>
      <w:tr>
        <w:tblPrEx>
          <w:tblCellMar>
            <w:top w:w="0" w:type="dxa"/>
            <w:left w:w="108" w:type="dxa"/>
            <w:bottom w:w="0" w:type="dxa"/>
            <w:right w:w="108" w:type="dxa"/>
          </w:tblCellMar>
        </w:tblPrEx>
        <w:trPr>
          <w:cantSplit/>
          <w:trHeight w:val="720"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7</w:t>
            </w:r>
          </w:p>
        </w:tc>
        <w:tc>
          <w:tcPr>
            <w:tcW w:w="2759"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粉葛</w:t>
            </w:r>
          </w:p>
        </w:tc>
        <w:tc>
          <w:tcPr>
            <w:tcW w:w="6539" w:type="dxa"/>
            <w:gridSpan w:val="6"/>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2</w:t>
            </w:r>
            <w:r>
              <w:rPr>
                <w:rFonts w:hint="eastAsia"/>
                <w:color w:val="000000"/>
                <w:kern w:val="0"/>
                <w:szCs w:val="21"/>
              </w:rPr>
              <w:t>7</w:t>
            </w:r>
            <w:r>
              <w:rPr>
                <w:rFonts w:hint="eastAsia"/>
                <w:color w:val="000000"/>
                <w:kern w:val="0"/>
                <w:szCs w:val="21"/>
                <w:lang w:eastAsia="zh-Hans"/>
              </w:rPr>
              <w:t>%</w:t>
            </w:r>
          </w:p>
        </w:tc>
      </w:tr>
      <w:tr>
        <w:tblPrEx>
          <w:tblCellMar>
            <w:top w:w="0" w:type="dxa"/>
            <w:left w:w="108" w:type="dxa"/>
            <w:bottom w:w="0" w:type="dxa"/>
            <w:right w:w="108" w:type="dxa"/>
          </w:tblCellMar>
        </w:tblPrEx>
        <w:trPr>
          <w:cantSplit/>
          <w:trHeight w:val="720"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8</w:t>
            </w:r>
          </w:p>
        </w:tc>
        <w:tc>
          <w:tcPr>
            <w:tcW w:w="2759"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香芋</w:t>
            </w:r>
          </w:p>
        </w:tc>
        <w:tc>
          <w:tcPr>
            <w:tcW w:w="6539" w:type="dxa"/>
            <w:gridSpan w:val="6"/>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2</w:t>
            </w:r>
            <w:r>
              <w:rPr>
                <w:rFonts w:hint="eastAsia"/>
                <w:color w:val="000000"/>
                <w:kern w:val="0"/>
                <w:szCs w:val="21"/>
              </w:rPr>
              <w:t>3</w:t>
            </w:r>
            <w:r>
              <w:rPr>
                <w:rFonts w:hint="eastAsia"/>
                <w:color w:val="000000"/>
                <w:kern w:val="0"/>
                <w:szCs w:val="21"/>
                <w:lang w:eastAsia="zh-Hans"/>
              </w:rPr>
              <w:t>%</w:t>
            </w:r>
          </w:p>
        </w:tc>
      </w:tr>
      <w:tr>
        <w:tblPrEx>
          <w:tblCellMar>
            <w:top w:w="0" w:type="dxa"/>
            <w:left w:w="108" w:type="dxa"/>
            <w:bottom w:w="0" w:type="dxa"/>
            <w:right w:w="108" w:type="dxa"/>
          </w:tblCellMar>
        </w:tblPrEx>
        <w:trPr>
          <w:cantSplit/>
          <w:trHeight w:val="720"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9</w:t>
            </w:r>
          </w:p>
        </w:tc>
        <w:tc>
          <w:tcPr>
            <w:tcW w:w="2759"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淮山</w:t>
            </w:r>
          </w:p>
        </w:tc>
        <w:tc>
          <w:tcPr>
            <w:tcW w:w="6539" w:type="dxa"/>
            <w:gridSpan w:val="6"/>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rPr>
              <w:t>2</w:t>
            </w:r>
            <w:r>
              <w:rPr>
                <w:rFonts w:hint="eastAsia"/>
                <w:color w:val="000000"/>
                <w:kern w:val="0"/>
                <w:szCs w:val="21"/>
                <w:lang w:eastAsia="zh-Hans"/>
              </w:rPr>
              <w:t>0%</w:t>
            </w:r>
          </w:p>
        </w:tc>
      </w:tr>
      <w:tr>
        <w:tblPrEx>
          <w:tblCellMar>
            <w:top w:w="0" w:type="dxa"/>
            <w:left w:w="108" w:type="dxa"/>
            <w:bottom w:w="0" w:type="dxa"/>
            <w:right w:w="108" w:type="dxa"/>
          </w:tblCellMar>
        </w:tblPrEx>
        <w:trPr>
          <w:cantSplit/>
          <w:trHeight w:val="720"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10</w:t>
            </w:r>
          </w:p>
        </w:tc>
        <w:tc>
          <w:tcPr>
            <w:tcW w:w="2759"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茄瓜</w:t>
            </w:r>
          </w:p>
        </w:tc>
        <w:tc>
          <w:tcPr>
            <w:tcW w:w="6539" w:type="dxa"/>
            <w:gridSpan w:val="6"/>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1</w:t>
            </w:r>
            <w:r>
              <w:rPr>
                <w:rFonts w:hint="eastAsia"/>
                <w:color w:val="000000"/>
                <w:kern w:val="0"/>
                <w:szCs w:val="21"/>
              </w:rPr>
              <w:t>2</w:t>
            </w:r>
            <w:r>
              <w:rPr>
                <w:rFonts w:hint="eastAsia"/>
                <w:color w:val="000000"/>
                <w:kern w:val="0"/>
                <w:szCs w:val="21"/>
                <w:lang w:eastAsia="zh-Hans"/>
              </w:rPr>
              <w:t>%</w:t>
            </w:r>
          </w:p>
        </w:tc>
      </w:tr>
      <w:tr>
        <w:tblPrEx>
          <w:tblCellMar>
            <w:top w:w="0" w:type="dxa"/>
            <w:left w:w="108" w:type="dxa"/>
            <w:bottom w:w="0" w:type="dxa"/>
            <w:right w:w="108" w:type="dxa"/>
          </w:tblCellMar>
        </w:tblPrEx>
        <w:trPr>
          <w:cantSplit/>
          <w:trHeight w:val="720"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11</w:t>
            </w:r>
          </w:p>
        </w:tc>
        <w:tc>
          <w:tcPr>
            <w:tcW w:w="2759"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丝瓜</w:t>
            </w:r>
          </w:p>
        </w:tc>
        <w:tc>
          <w:tcPr>
            <w:tcW w:w="6539" w:type="dxa"/>
            <w:gridSpan w:val="6"/>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42%</w:t>
            </w:r>
          </w:p>
        </w:tc>
      </w:tr>
      <w:tr>
        <w:tblPrEx>
          <w:tblCellMar>
            <w:top w:w="0" w:type="dxa"/>
            <w:left w:w="108" w:type="dxa"/>
            <w:bottom w:w="0" w:type="dxa"/>
            <w:right w:w="108" w:type="dxa"/>
          </w:tblCellMar>
        </w:tblPrEx>
        <w:trPr>
          <w:cantSplit/>
          <w:trHeight w:val="720"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12</w:t>
            </w:r>
          </w:p>
        </w:tc>
        <w:tc>
          <w:tcPr>
            <w:tcW w:w="2759"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鲩鱼</w:t>
            </w:r>
          </w:p>
        </w:tc>
        <w:tc>
          <w:tcPr>
            <w:tcW w:w="6539" w:type="dxa"/>
            <w:gridSpan w:val="6"/>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28%</w:t>
            </w:r>
          </w:p>
        </w:tc>
      </w:tr>
      <w:tr>
        <w:tblPrEx>
          <w:tblCellMar>
            <w:top w:w="0" w:type="dxa"/>
            <w:left w:w="108" w:type="dxa"/>
            <w:bottom w:w="0" w:type="dxa"/>
            <w:right w:w="108" w:type="dxa"/>
          </w:tblCellMar>
        </w:tblPrEx>
        <w:trPr>
          <w:cantSplit/>
          <w:trHeight w:val="720" w:hRule="atLeast"/>
        </w:trPr>
        <w:tc>
          <w:tcPr>
            <w:tcW w:w="661"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13</w:t>
            </w:r>
          </w:p>
        </w:tc>
        <w:tc>
          <w:tcPr>
            <w:tcW w:w="2759" w:type="dxa"/>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鲫鱼</w:t>
            </w:r>
          </w:p>
        </w:tc>
        <w:tc>
          <w:tcPr>
            <w:tcW w:w="6539" w:type="dxa"/>
            <w:gridSpan w:val="6"/>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center"/>
              <w:textAlignment w:val="center"/>
              <w:rPr>
                <w:rFonts w:ascii="宋体" w:hAnsi="宋体" w:cs="宋体"/>
                <w:color w:val="000000"/>
                <w:sz w:val="28"/>
                <w:szCs w:val="28"/>
              </w:rPr>
            </w:pPr>
            <w:r>
              <w:rPr>
                <w:rFonts w:hint="eastAsia"/>
                <w:color w:val="000000"/>
                <w:kern w:val="0"/>
                <w:szCs w:val="21"/>
                <w:lang w:eastAsia="zh-Hans"/>
              </w:rPr>
              <w:t>26%</w:t>
            </w:r>
          </w:p>
        </w:tc>
      </w:tr>
    </w:tbl>
    <w:p>
      <w:pPr>
        <w:pStyle w:val="17"/>
        <w:spacing w:line="400" w:lineRule="exact"/>
        <w:ind w:firstLine="480"/>
        <w:jc w:val="left"/>
        <w:rPr>
          <w:rFonts w:hint="default"/>
          <w:color w:val="000000"/>
        </w:rPr>
      </w:pPr>
      <w:r>
        <w:rPr>
          <w:color w:val="000000"/>
          <w:sz w:val="24"/>
        </w:rPr>
        <w:t>（四）付款时间、方式</w:t>
      </w:r>
    </w:p>
    <w:p>
      <w:pPr>
        <w:pStyle w:val="17"/>
        <w:spacing w:line="400" w:lineRule="exact"/>
        <w:ind w:firstLine="480"/>
        <w:jc w:val="left"/>
        <w:rPr>
          <w:rFonts w:hint="default"/>
          <w:color w:val="000000"/>
          <w:sz w:val="24"/>
        </w:rPr>
      </w:pPr>
      <w:r>
        <w:rPr>
          <w:color w:val="000000"/>
          <w:sz w:val="24"/>
          <w:lang w:eastAsia="zh-CN"/>
        </w:rPr>
        <w:t>1．</w:t>
      </w:r>
      <w:r>
        <w:rPr>
          <w:color w:val="000000"/>
          <w:sz w:val="24"/>
        </w:rPr>
        <w:t>每月</w:t>
      </w:r>
      <w:r>
        <w:rPr>
          <w:rFonts w:hint="default"/>
          <w:color w:val="000000"/>
          <w:sz w:val="24"/>
        </w:rPr>
        <w:t>15</w:t>
      </w:r>
      <w:r>
        <w:rPr>
          <w:color w:val="000000"/>
          <w:sz w:val="24"/>
        </w:rPr>
        <w:t>日前</w:t>
      </w:r>
      <w:r>
        <w:rPr>
          <w:color w:val="000000"/>
          <w:sz w:val="24"/>
          <w:lang w:eastAsia="zh-CN"/>
        </w:rPr>
        <w:t>甲方</w:t>
      </w:r>
      <w:r>
        <w:rPr>
          <w:color w:val="000000"/>
          <w:sz w:val="24"/>
        </w:rPr>
        <w:t>汇总上月送货验收合格单后与</w:t>
      </w:r>
      <w:r>
        <w:rPr>
          <w:color w:val="000000"/>
          <w:sz w:val="24"/>
          <w:lang w:eastAsia="zh-CN"/>
        </w:rPr>
        <w:t>乙方</w:t>
      </w:r>
      <w:r>
        <w:rPr>
          <w:color w:val="000000"/>
          <w:sz w:val="24"/>
        </w:rPr>
        <w:t>核对，双方确认无误后，</w:t>
      </w:r>
      <w:r>
        <w:rPr>
          <w:color w:val="000000"/>
          <w:sz w:val="24"/>
          <w:lang w:eastAsia="zh-CN"/>
        </w:rPr>
        <w:t>甲方</w:t>
      </w:r>
      <w:r>
        <w:rPr>
          <w:color w:val="000000"/>
          <w:sz w:val="24"/>
        </w:rPr>
        <w:t>在收到发票之日起</w:t>
      </w:r>
      <w:r>
        <w:rPr>
          <w:color w:val="000000"/>
          <w:sz w:val="24"/>
          <w:lang w:eastAsia="zh-CN"/>
        </w:rPr>
        <w:t>60</w:t>
      </w:r>
      <w:r>
        <w:rPr>
          <w:color w:val="000000"/>
          <w:sz w:val="24"/>
        </w:rPr>
        <w:t>日内向</w:t>
      </w:r>
      <w:r>
        <w:rPr>
          <w:color w:val="000000"/>
          <w:sz w:val="24"/>
          <w:lang w:eastAsia="zh-CN"/>
        </w:rPr>
        <w:t>乙方</w:t>
      </w:r>
      <w:r>
        <w:rPr>
          <w:color w:val="000000"/>
          <w:sz w:val="24"/>
        </w:rPr>
        <w:t>支付上月采购金额。</w:t>
      </w:r>
    </w:p>
    <w:p>
      <w:pPr>
        <w:pStyle w:val="17"/>
        <w:spacing w:line="400" w:lineRule="exact"/>
        <w:ind w:firstLine="480"/>
        <w:jc w:val="left"/>
        <w:rPr>
          <w:rFonts w:hint="default"/>
          <w:color w:val="000000"/>
        </w:rPr>
      </w:pPr>
      <w:r>
        <w:rPr>
          <w:rFonts w:hint="eastAsia"/>
          <w:color w:val="000000"/>
          <w:sz w:val="24"/>
          <w:lang w:val="en-US" w:eastAsia="zh-CN"/>
        </w:rPr>
        <w:t>2</w:t>
      </w:r>
      <w:r>
        <w:rPr>
          <w:color w:val="000000"/>
          <w:sz w:val="24"/>
        </w:rPr>
        <w:t>.每次按合同支付款项前，乙方应向甲方提供与支付金额相符的合法有效完整的完税发票及凭证资料，且收款方、出具发票方、合同乙方均必须与乙方名称一致；</w:t>
      </w:r>
    </w:p>
    <w:p>
      <w:pPr>
        <w:pStyle w:val="17"/>
        <w:spacing w:line="400" w:lineRule="exact"/>
        <w:ind w:firstLine="480"/>
        <w:jc w:val="left"/>
        <w:rPr>
          <w:rFonts w:hint="default"/>
          <w:color w:val="000000"/>
        </w:rPr>
      </w:pPr>
      <w:r>
        <w:rPr>
          <w:rFonts w:hint="eastAsia"/>
          <w:color w:val="000000"/>
          <w:sz w:val="24"/>
          <w:lang w:val="en-US" w:eastAsia="zh-CN"/>
        </w:rPr>
        <w:t>3</w:t>
      </w:r>
      <w:r>
        <w:rPr>
          <w:color w:val="000000"/>
          <w:sz w:val="24"/>
        </w:rPr>
        <w:t>.</w:t>
      </w:r>
      <w:r>
        <w:rPr>
          <w:color w:val="000000"/>
          <w:sz w:val="24"/>
          <w:lang w:eastAsia="zh-CN"/>
        </w:rPr>
        <w:t>乙方确认：</w:t>
      </w:r>
      <w:r>
        <w:rPr>
          <w:color w:val="000000"/>
          <w:sz w:val="24"/>
        </w:rPr>
        <w:t>因甲方使用的是财政资金，因此前款规定的甲方付款时间为甲方向政府财政支付部门提出办理财政支付申请手续的时间（不含政府财政支付部门审核的时间），甲方在前款规定的时间内提出支付申请手续后即视为甲方已经按期支付。乙方对上述操作没有异议。如因财政资金的下达、拨付问题导致付款延迟的，不视为甲方违约，乙方不能据此追究甲方逾期付款的违约责任。</w:t>
      </w:r>
    </w:p>
    <w:p>
      <w:pPr>
        <w:pStyle w:val="17"/>
        <w:spacing w:line="400" w:lineRule="exact"/>
        <w:ind w:firstLine="480"/>
        <w:jc w:val="left"/>
        <w:rPr>
          <w:rFonts w:hint="default"/>
          <w:color w:val="000000"/>
        </w:rPr>
      </w:pPr>
      <w:r>
        <w:rPr>
          <w:color w:val="000000"/>
          <w:sz w:val="24"/>
        </w:rPr>
        <w:t>（五）乙方账户信息如下：</w:t>
      </w:r>
    </w:p>
    <w:p>
      <w:pPr>
        <w:pStyle w:val="17"/>
        <w:spacing w:line="400" w:lineRule="exact"/>
        <w:ind w:firstLine="480"/>
        <w:jc w:val="left"/>
        <w:rPr>
          <w:rFonts w:hint="default"/>
          <w:color w:val="000000"/>
        </w:rPr>
      </w:pPr>
      <w:r>
        <w:rPr>
          <w:color w:val="000000"/>
          <w:sz w:val="24"/>
        </w:rPr>
        <w:t>开户名：</w:t>
      </w:r>
      <w:r>
        <w:rPr>
          <w:color w:val="000000"/>
          <w:sz w:val="21"/>
          <w:u w:val="single"/>
        </w:rPr>
        <w:t xml:space="preserve">                        </w:t>
      </w:r>
    </w:p>
    <w:p>
      <w:pPr>
        <w:pStyle w:val="17"/>
        <w:spacing w:line="400" w:lineRule="exact"/>
        <w:ind w:firstLine="480"/>
        <w:jc w:val="left"/>
        <w:rPr>
          <w:rFonts w:hint="default"/>
          <w:color w:val="000000"/>
        </w:rPr>
      </w:pPr>
      <w:r>
        <w:rPr>
          <w:color w:val="000000"/>
          <w:sz w:val="24"/>
        </w:rPr>
        <w:t>开户行：</w:t>
      </w:r>
      <w:r>
        <w:rPr>
          <w:color w:val="000000"/>
          <w:sz w:val="21"/>
          <w:u w:val="single"/>
        </w:rPr>
        <w:t xml:space="preserve">                        </w:t>
      </w:r>
    </w:p>
    <w:p>
      <w:pPr>
        <w:pStyle w:val="17"/>
        <w:spacing w:line="400" w:lineRule="exact"/>
        <w:ind w:firstLine="480"/>
        <w:jc w:val="left"/>
        <w:rPr>
          <w:rFonts w:hint="default"/>
          <w:color w:val="000000"/>
        </w:rPr>
      </w:pPr>
      <w:r>
        <w:rPr>
          <w:color w:val="000000"/>
          <w:sz w:val="24"/>
        </w:rPr>
        <w:t>账号：</w:t>
      </w:r>
      <w:r>
        <w:rPr>
          <w:color w:val="000000"/>
          <w:sz w:val="21"/>
          <w:u w:val="single"/>
        </w:rPr>
        <w:t xml:space="preserve">                        </w:t>
      </w:r>
    </w:p>
    <w:p>
      <w:pPr>
        <w:pStyle w:val="17"/>
        <w:spacing w:line="400" w:lineRule="exact"/>
        <w:ind w:firstLine="480"/>
        <w:jc w:val="left"/>
        <w:rPr>
          <w:color w:val="000000"/>
          <w:sz w:val="24"/>
        </w:rPr>
      </w:pPr>
    </w:p>
    <w:p>
      <w:pPr>
        <w:pStyle w:val="17"/>
        <w:spacing w:line="400" w:lineRule="exact"/>
        <w:ind w:firstLine="480"/>
        <w:jc w:val="left"/>
        <w:rPr>
          <w:rFonts w:hint="default"/>
          <w:color w:val="000000"/>
        </w:rPr>
      </w:pPr>
      <w:r>
        <w:rPr>
          <w:color w:val="000000"/>
          <w:sz w:val="24"/>
        </w:rPr>
        <w:t>（六）甲方开票信息如下：</w:t>
      </w:r>
    </w:p>
    <w:p>
      <w:pPr>
        <w:pStyle w:val="17"/>
        <w:spacing w:line="400" w:lineRule="exact"/>
        <w:ind w:firstLine="480"/>
        <w:rPr>
          <w:rFonts w:hint="eastAsia" w:eastAsia="宋体"/>
          <w:color w:val="000000"/>
          <w:lang w:eastAsia="zh-CN"/>
        </w:rPr>
      </w:pPr>
      <w:r>
        <w:rPr>
          <w:color w:val="000000"/>
          <w:sz w:val="24"/>
        </w:rPr>
        <w:t>单位名称：江门市市场监督管理局</w:t>
      </w:r>
      <w:r>
        <w:rPr>
          <w:rFonts w:hint="eastAsia"/>
          <w:color w:val="000000"/>
          <w:sz w:val="24"/>
          <w:lang w:eastAsia="zh-CN"/>
        </w:rPr>
        <w:t>食堂</w:t>
      </w:r>
    </w:p>
    <w:p>
      <w:pPr>
        <w:pStyle w:val="17"/>
        <w:spacing w:line="400" w:lineRule="exact"/>
        <w:ind w:firstLine="480"/>
        <w:rPr>
          <w:rFonts w:hint="default"/>
          <w:color w:val="000000"/>
        </w:rPr>
      </w:pPr>
      <w:r>
        <w:rPr>
          <w:color w:val="000000"/>
          <w:sz w:val="24"/>
        </w:rPr>
        <w:t>统一</w:t>
      </w:r>
      <w:r>
        <w:rPr>
          <w:rFonts w:hint="eastAsia"/>
          <w:color w:val="000000"/>
          <w:sz w:val="24"/>
          <w:lang w:eastAsia="zh-CN"/>
        </w:rPr>
        <w:t>社会</w:t>
      </w:r>
      <w:bookmarkStart w:id="0" w:name="_GoBack"/>
      <w:bookmarkEnd w:id="0"/>
      <w:r>
        <w:rPr>
          <w:color w:val="000000"/>
          <w:sz w:val="24"/>
        </w:rPr>
        <w:t>信用代码：11440700MB2C90725T</w:t>
      </w:r>
    </w:p>
    <w:p>
      <w:pPr>
        <w:pStyle w:val="17"/>
        <w:spacing w:line="400" w:lineRule="exact"/>
        <w:ind w:firstLine="480"/>
        <w:jc w:val="left"/>
        <w:rPr>
          <w:rFonts w:hint="default"/>
          <w:color w:val="000000"/>
        </w:rPr>
      </w:pPr>
      <w:r>
        <w:rPr>
          <w:b/>
          <w:color w:val="000000"/>
          <w:sz w:val="24"/>
        </w:rPr>
        <w:t>第三条验收方式</w:t>
      </w:r>
      <w:r>
        <w:rPr>
          <w:color w:val="000000"/>
          <w:sz w:val="21"/>
        </w:rPr>
        <w:t xml:space="preserve"> </w:t>
      </w:r>
    </w:p>
    <w:p>
      <w:pPr>
        <w:pStyle w:val="17"/>
        <w:spacing w:line="400" w:lineRule="exact"/>
        <w:ind w:firstLine="480"/>
        <w:jc w:val="left"/>
        <w:rPr>
          <w:rFonts w:hint="default"/>
          <w:color w:val="000000"/>
          <w:highlight w:val="yellow"/>
        </w:rPr>
      </w:pPr>
      <w:r>
        <w:rPr>
          <w:color w:val="000000"/>
          <w:sz w:val="24"/>
          <w:highlight w:val="none"/>
        </w:rPr>
        <w:t>（一）验收时间：乙方将当期货物配送至甲方指定交货地点之日起</w:t>
      </w:r>
      <w:r>
        <w:rPr>
          <w:color w:val="000000"/>
          <w:sz w:val="21"/>
          <w:highlight w:val="none"/>
          <w:u w:val="single"/>
          <w:lang w:eastAsia="zh-CN"/>
        </w:rPr>
        <w:t>7</w:t>
      </w:r>
      <w:r>
        <w:rPr>
          <w:color w:val="000000"/>
          <w:sz w:val="24"/>
          <w:highlight w:val="none"/>
        </w:rPr>
        <w:t>日内甲方完成验收工作。</w:t>
      </w:r>
    </w:p>
    <w:p>
      <w:pPr>
        <w:pStyle w:val="17"/>
        <w:spacing w:line="400" w:lineRule="exact"/>
        <w:ind w:firstLine="480"/>
        <w:jc w:val="left"/>
        <w:rPr>
          <w:rFonts w:hint="default"/>
          <w:color w:val="000000"/>
        </w:rPr>
      </w:pPr>
      <w:r>
        <w:rPr>
          <w:color w:val="000000"/>
          <w:sz w:val="24"/>
        </w:rPr>
        <w:t>（二）验收标准：由甲方依据国家、省、市制定的法律法规政策、行业规范或标准以及招标文件、乙方投标文件、本合同约定的货物质量标准进行验收。</w:t>
      </w:r>
    </w:p>
    <w:p>
      <w:pPr>
        <w:pStyle w:val="17"/>
        <w:spacing w:line="400" w:lineRule="exact"/>
        <w:ind w:firstLine="480"/>
        <w:jc w:val="left"/>
        <w:rPr>
          <w:rFonts w:hint="default"/>
          <w:color w:val="000000"/>
        </w:rPr>
      </w:pPr>
      <w:r>
        <w:rPr>
          <w:color w:val="000000"/>
          <w:sz w:val="24"/>
        </w:rPr>
        <w:t>（三）经甲方验收不合格的，乙方应在甲方指定期限内予以退货、换货并再次提交给甲方验收；验收合格后由甲方出具验收合格单作为结算及甲方支付当期款项的依据。</w:t>
      </w:r>
    </w:p>
    <w:p>
      <w:pPr>
        <w:pStyle w:val="17"/>
        <w:spacing w:line="400" w:lineRule="exact"/>
        <w:ind w:firstLine="480"/>
        <w:jc w:val="left"/>
        <w:rPr>
          <w:rFonts w:hint="default"/>
          <w:color w:val="000000"/>
        </w:rPr>
      </w:pPr>
      <w:r>
        <w:rPr>
          <w:b/>
          <w:color w:val="000000"/>
          <w:sz w:val="24"/>
        </w:rPr>
        <w:t>第四条甲方的权利和义务</w:t>
      </w:r>
    </w:p>
    <w:p>
      <w:pPr>
        <w:pStyle w:val="17"/>
        <w:spacing w:line="400" w:lineRule="exact"/>
        <w:ind w:firstLine="480"/>
        <w:jc w:val="left"/>
        <w:rPr>
          <w:rFonts w:hint="default"/>
          <w:color w:val="000000"/>
        </w:rPr>
      </w:pPr>
      <w:r>
        <w:rPr>
          <w:color w:val="000000"/>
          <w:sz w:val="24"/>
        </w:rPr>
        <w:t>（一）甲方为乙方提供项目实施中所需的相关协助；</w:t>
      </w:r>
    </w:p>
    <w:p>
      <w:pPr>
        <w:pStyle w:val="17"/>
        <w:spacing w:line="400" w:lineRule="exact"/>
        <w:ind w:firstLine="480"/>
        <w:jc w:val="left"/>
        <w:rPr>
          <w:rFonts w:hint="default"/>
          <w:color w:val="000000"/>
        </w:rPr>
      </w:pPr>
      <w:r>
        <w:rPr>
          <w:color w:val="000000"/>
          <w:sz w:val="24"/>
        </w:rPr>
        <w:t>（二）项目实施期间，甲方有权向乙方提出建议或具体要求；</w:t>
      </w:r>
    </w:p>
    <w:p>
      <w:pPr>
        <w:pStyle w:val="17"/>
        <w:spacing w:line="400" w:lineRule="exact"/>
        <w:ind w:firstLine="480"/>
        <w:jc w:val="left"/>
        <w:rPr>
          <w:rFonts w:hint="default"/>
          <w:color w:val="000000"/>
        </w:rPr>
      </w:pPr>
      <w:r>
        <w:rPr>
          <w:color w:val="000000"/>
          <w:sz w:val="24"/>
        </w:rPr>
        <w:t>（三）若甲方发现有问题，乙方应当在接到甲方的质疑之日2日内提供相关说明；若甲方认为需要整改的，乙方应当根据甲方要求整改至甲方认为合格为止；若乙方拒绝整改，则视为乙方违约。</w:t>
      </w:r>
    </w:p>
    <w:p>
      <w:pPr>
        <w:pStyle w:val="17"/>
        <w:spacing w:line="400" w:lineRule="exact"/>
        <w:ind w:firstLine="480"/>
        <w:jc w:val="left"/>
        <w:rPr>
          <w:rFonts w:hint="default"/>
          <w:color w:val="000000"/>
        </w:rPr>
      </w:pPr>
      <w:r>
        <w:rPr>
          <w:color w:val="000000"/>
          <w:sz w:val="24"/>
        </w:rPr>
        <w:t>（四）甲方按本合同约定向乙方支付项目费用。</w:t>
      </w:r>
    </w:p>
    <w:p>
      <w:pPr>
        <w:pStyle w:val="17"/>
        <w:spacing w:line="400" w:lineRule="exact"/>
        <w:ind w:firstLine="480"/>
        <w:jc w:val="left"/>
        <w:rPr>
          <w:rFonts w:hint="default"/>
          <w:color w:val="000000"/>
        </w:rPr>
      </w:pPr>
      <w:r>
        <w:rPr>
          <w:color w:val="000000"/>
          <w:sz w:val="24"/>
        </w:rPr>
        <w:t>（五）甲方应及时进行验收。</w:t>
      </w:r>
    </w:p>
    <w:p>
      <w:pPr>
        <w:pStyle w:val="17"/>
        <w:spacing w:line="400" w:lineRule="exact"/>
        <w:ind w:firstLine="480"/>
        <w:jc w:val="left"/>
        <w:rPr>
          <w:rFonts w:hint="default"/>
          <w:color w:val="000000"/>
        </w:rPr>
      </w:pPr>
      <w:r>
        <w:rPr>
          <w:b/>
          <w:color w:val="000000"/>
          <w:sz w:val="24"/>
        </w:rPr>
        <w:t>第五条乙方的权利和义务</w:t>
      </w:r>
    </w:p>
    <w:p>
      <w:pPr>
        <w:pStyle w:val="17"/>
        <w:spacing w:line="400" w:lineRule="exact"/>
        <w:ind w:firstLine="480"/>
        <w:jc w:val="left"/>
        <w:rPr>
          <w:rFonts w:hint="default"/>
          <w:color w:val="000000"/>
        </w:rPr>
      </w:pPr>
      <w:r>
        <w:rPr>
          <w:color w:val="000000"/>
          <w:sz w:val="24"/>
        </w:rPr>
        <w:t>（一）乙方需承诺所供的商品必须符合国家有关食品安全标准，保持较好的外观和质量等级，保证在有效期内，无异味或霉烂变质的情况，如不符合招标文件、合同约定的质量标准，乙方应当无条件接受退货并承担违约责任。</w:t>
      </w:r>
    </w:p>
    <w:p>
      <w:pPr>
        <w:pStyle w:val="17"/>
        <w:spacing w:line="400" w:lineRule="exact"/>
        <w:ind w:firstLine="480"/>
        <w:jc w:val="left"/>
        <w:rPr>
          <w:rFonts w:hint="default"/>
          <w:color w:val="000000"/>
        </w:rPr>
      </w:pPr>
      <w:r>
        <w:rPr>
          <w:color w:val="000000"/>
          <w:sz w:val="24"/>
        </w:rPr>
        <w:t>（二）所供商品必须符合国家相关标准，货真价实，均有正规合法来源，能提供可追溯的票据及相应批次的合格检验证明（如检验检测报告、动物检疫合格证明等）。</w:t>
      </w:r>
    </w:p>
    <w:p>
      <w:pPr>
        <w:pStyle w:val="17"/>
        <w:spacing w:line="400" w:lineRule="exact"/>
        <w:ind w:firstLine="480"/>
        <w:jc w:val="left"/>
        <w:rPr>
          <w:rFonts w:hint="default"/>
          <w:color w:val="000000"/>
        </w:rPr>
      </w:pPr>
      <w:r>
        <w:rPr>
          <w:color w:val="000000"/>
          <w:sz w:val="24"/>
        </w:rPr>
        <w:t>（三）乙方应按照甲方要求准时将物品送至甲方指定食堂，必要时对指定种类食品进行冷链配送。运输食品须采用符合卫生标准的外包装和运载工具，送货车辆应保持清洁和定期消毒。</w:t>
      </w:r>
    </w:p>
    <w:p>
      <w:pPr>
        <w:pStyle w:val="17"/>
        <w:spacing w:line="400" w:lineRule="exact"/>
        <w:ind w:firstLine="480"/>
        <w:jc w:val="left"/>
        <w:rPr>
          <w:rFonts w:hint="default"/>
          <w:color w:val="000000"/>
        </w:rPr>
      </w:pPr>
      <w:r>
        <w:rPr>
          <w:color w:val="000000"/>
          <w:sz w:val="24"/>
        </w:rPr>
        <w:t>（四）乙方须对部分生鲜肉类（三禽、鱼等）和菜类进行前处理加工，确保有较高可使用率，配送至甲方食堂。</w:t>
      </w:r>
    </w:p>
    <w:p>
      <w:pPr>
        <w:pStyle w:val="17"/>
        <w:spacing w:line="400" w:lineRule="exact"/>
        <w:ind w:firstLine="480"/>
        <w:jc w:val="left"/>
        <w:rPr>
          <w:rFonts w:hint="default"/>
          <w:color w:val="000000"/>
        </w:rPr>
      </w:pPr>
      <w:r>
        <w:rPr>
          <w:color w:val="000000"/>
          <w:sz w:val="24"/>
        </w:rPr>
        <w:t>（五）乙方必须负责所供商品的运输、质量检测等工作，所产生的费用由乙方负责。</w:t>
      </w:r>
    </w:p>
    <w:p>
      <w:pPr>
        <w:pStyle w:val="17"/>
        <w:spacing w:line="400" w:lineRule="exact"/>
        <w:ind w:firstLine="480"/>
        <w:jc w:val="left"/>
        <w:rPr>
          <w:rFonts w:hint="default"/>
          <w:color w:val="000000"/>
        </w:rPr>
      </w:pPr>
      <w:r>
        <w:rPr>
          <w:color w:val="000000"/>
          <w:sz w:val="24"/>
        </w:rPr>
        <w:t>（六）商品具体需求量以实际供应前一天的甲方通知的为准。乙方不得变更供应商品，应严格按要求（含商标、名称、产地、规格和重量等）供应，否则，甲方有权拒收。如因市场流通问题确实需要变更的，应书面向甲方申请。</w:t>
      </w:r>
    </w:p>
    <w:p>
      <w:pPr>
        <w:pStyle w:val="17"/>
        <w:spacing w:line="400" w:lineRule="exact"/>
        <w:ind w:firstLine="480"/>
        <w:jc w:val="left"/>
        <w:rPr>
          <w:rFonts w:hint="default"/>
          <w:color w:val="000000"/>
        </w:rPr>
      </w:pPr>
      <w:r>
        <w:rPr>
          <w:color w:val="000000"/>
          <w:sz w:val="24"/>
        </w:rPr>
        <w:t>（七）乙方须建立及时响应机制：甲方可根据实际情况对订单进行调整，临时修改订单内容或增加新的订单，乙方在接到甲方通知后45分钟内将货物送达，经甲方验收核对后，才算完成供货。</w:t>
      </w:r>
    </w:p>
    <w:p>
      <w:pPr>
        <w:pStyle w:val="17"/>
        <w:spacing w:line="400" w:lineRule="exact"/>
        <w:ind w:firstLine="480"/>
        <w:jc w:val="left"/>
        <w:rPr>
          <w:rFonts w:hint="default"/>
          <w:color w:val="000000"/>
        </w:rPr>
      </w:pPr>
      <w:r>
        <w:rPr>
          <w:color w:val="000000"/>
          <w:sz w:val="24"/>
        </w:rPr>
        <w:t>（八）甲方按合同对商品进行认真验收，对不符合规格要求的，乙方必须无条件退货；乙方未能履行招标文件或合同所定事项，或供应不合格的、假冒伪劣、以次充好的商品，甲方退货后将记录在案，并对乙方追究违约责任，除要承担因此产生的一切损失和费用外，情节严重的可取消其供应资格。</w:t>
      </w:r>
    </w:p>
    <w:p>
      <w:pPr>
        <w:pStyle w:val="17"/>
        <w:spacing w:line="400" w:lineRule="exact"/>
        <w:ind w:firstLine="480"/>
        <w:jc w:val="left"/>
        <w:rPr>
          <w:rFonts w:hint="default"/>
          <w:color w:val="000000"/>
        </w:rPr>
      </w:pPr>
      <w:r>
        <w:rPr>
          <w:color w:val="000000"/>
          <w:sz w:val="24"/>
        </w:rPr>
        <w:t>（九）甲方需要索取进货凭证和检验报告时，乙方需在30分钟内提供相关资料给甲方。</w:t>
      </w:r>
    </w:p>
    <w:p>
      <w:pPr>
        <w:pStyle w:val="17"/>
        <w:spacing w:line="400" w:lineRule="exact"/>
        <w:ind w:firstLine="480"/>
        <w:jc w:val="left"/>
        <w:rPr>
          <w:rFonts w:hint="default"/>
          <w:color w:val="000000"/>
        </w:rPr>
      </w:pPr>
      <w:r>
        <w:rPr>
          <w:color w:val="000000"/>
          <w:sz w:val="24"/>
        </w:rPr>
        <w:t>（十）乙方应加强食品安全管理，建立相关食品安全制度、内部管理制度（安全管理制度、人力资源管理制度等）、工作流程管理制度，有农产品检测设备，具有产品追溯相关管理系统，确保所有供应产品可追溯。</w:t>
      </w:r>
    </w:p>
    <w:p>
      <w:pPr>
        <w:pStyle w:val="17"/>
        <w:spacing w:line="400" w:lineRule="exact"/>
        <w:ind w:firstLine="480"/>
        <w:jc w:val="left"/>
        <w:rPr>
          <w:rFonts w:hint="default"/>
          <w:color w:val="000000"/>
        </w:rPr>
      </w:pPr>
      <w:r>
        <w:rPr>
          <w:color w:val="000000"/>
          <w:sz w:val="24"/>
        </w:rPr>
        <w:t>（十一）乙方需建立全面、完善的项目方案，对食品原材料的清洁加工、运输、装卸、派发及售后服务等都有明确保障措施，对整体质量控制方案（原材料选定、包装、运输途中，送达甲方指定地后）的保障措施。</w:t>
      </w:r>
    </w:p>
    <w:p>
      <w:pPr>
        <w:pStyle w:val="17"/>
        <w:spacing w:line="400" w:lineRule="exact"/>
        <w:ind w:firstLine="480"/>
        <w:jc w:val="left"/>
        <w:rPr>
          <w:rFonts w:hint="default"/>
          <w:color w:val="000000"/>
        </w:rPr>
      </w:pPr>
      <w:r>
        <w:rPr>
          <w:color w:val="000000"/>
          <w:sz w:val="24"/>
        </w:rPr>
        <w:t>（十二）乙方应做好本单位工作人员的培训、教育工作，遵守甲方各项规定，工作人员具有相关资质证书。</w:t>
      </w:r>
    </w:p>
    <w:p>
      <w:pPr>
        <w:pStyle w:val="17"/>
        <w:spacing w:line="400" w:lineRule="exact"/>
        <w:ind w:firstLine="480"/>
        <w:jc w:val="left"/>
        <w:rPr>
          <w:rFonts w:hint="default"/>
          <w:color w:val="000000"/>
        </w:rPr>
      </w:pPr>
      <w:r>
        <w:rPr>
          <w:color w:val="000000"/>
          <w:sz w:val="24"/>
        </w:rPr>
        <w:t>（十三）乙方应提供完善的实施方案，包含但不限于项目管理及进度安排、食品原材料的清洗加工、运输、装卸、派发及售后处理、验收方案、应急突发事件处理（食物中毒应急处理措施、安全卫生意外事件的应急保障措施等）、食品紧急配送方案、服务承诺等内容。</w:t>
      </w:r>
    </w:p>
    <w:p>
      <w:pPr>
        <w:pStyle w:val="17"/>
        <w:spacing w:line="400" w:lineRule="exact"/>
        <w:ind w:firstLine="480"/>
        <w:jc w:val="left"/>
        <w:rPr>
          <w:rFonts w:hint="default"/>
          <w:color w:val="000000"/>
        </w:rPr>
      </w:pPr>
      <w:r>
        <w:rPr>
          <w:color w:val="000000"/>
          <w:sz w:val="24"/>
        </w:rPr>
        <w:t>（十四）对甲方的服务通知，乙方在接到通知后需30分钟内响应，</w:t>
      </w:r>
      <w:r>
        <w:rPr>
          <w:rFonts w:hint="default"/>
          <w:color w:val="000000"/>
          <w:sz w:val="24"/>
        </w:rPr>
        <w:t>45分钟</w:t>
      </w:r>
      <w:r>
        <w:rPr>
          <w:color w:val="000000"/>
          <w:sz w:val="24"/>
        </w:rPr>
        <w:t>内到达现场。</w:t>
      </w:r>
    </w:p>
    <w:p>
      <w:pPr>
        <w:pStyle w:val="17"/>
        <w:spacing w:line="400" w:lineRule="exact"/>
        <w:ind w:firstLine="480"/>
        <w:jc w:val="left"/>
        <w:rPr>
          <w:rFonts w:hint="default"/>
          <w:color w:val="000000"/>
        </w:rPr>
      </w:pPr>
      <w:r>
        <w:rPr>
          <w:color w:val="000000"/>
          <w:sz w:val="24"/>
        </w:rPr>
        <w:t>（十五）投标应当提供个性化服务（信息化服务、营养搭配建议等）。</w:t>
      </w:r>
    </w:p>
    <w:p>
      <w:pPr>
        <w:pStyle w:val="17"/>
        <w:spacing w:line="400" w:lineRule="exact"/>
        <w:ind w:firstLine="480"/>
        <w:jc w:val="left"/>
        <w:rPr>
          <w:rFonts w:hint="default"/>
          <w:color w:val="000000"/>
        </w:rPr>
      </w:pPr>
      <w:r>
        <w:rPr>
          <w:color w:val="000000"/>
          <w:sz w:val="24"/>
        </w:rPr>
        <w:t>（十六）乙方需协助甲方在“脱贫地区农副产品网络销售平台”采购脱贫地区农副产品工作，合计平台采购金额不少于年度食堂食材采购总金额的30%。</w:t>
      </w:r>
    </w:p>
    <w:p>
      <w:pPr>
        <w:pStyle w:val="17"/>
        <w:spacing w:line="400" w:lineRule="exact"/>
        <w:ind w:firstLine="480"/>
        <w:jc w:val="left"/>
        <w:rPr>
          <w:rFonts w:hint="default"/>
          <w:color w:val="000000"/>
        </w:rPr>
      </w:pPr>
      <w:r>
        <w:rPr>
          <w:b/>
          <w:color w:val="000000"/>
          <w:sz w:val="24"/>
        </w:rPr>
        <w:t>第六条 货物灭失风险承担</w:t>
      </w:r>
    </w:p>
    <w:p>
      <w:pPr>
        <w:pStyle w:val="17"/>
        <w:spacing w:line="400" w:lineRule="exact"/>
        <w:ind w:firstLine="480"/>
        <w:jc w:val="left"/>
        <w:rPr>
          <w:rFonts w:hint="default"/>
          <w:color w:val="000000"/>
        </w:rPr>
      </w:pPr>
      <w:r>
        <w:rPr>
          <w:color w:val="000000"/>
          <w:sz w:val="24"/>
        </w:rPr>
        <w:t>乙方将货物交付甲方之前，货物毁灭，损失的责任由乙方自行承担；货物交付甲方之后，货物毁灭，损失的责任由甲方承担</w:t>
      </w:r>
      <w:r>
        <w:rPr>
          <w:color w:val="000000"/>
          <w:sz w:val="24"/>
          <w:lang w:eastAsia="zh-CN"/>
        </w:rPr>
        <w:t>；但乙方应当按照甲方的要求及时补给货物给甲方保障甲方需求</w:t>
      </w:r>
      <w:r>
        <w:rPr>
          <w:color w:val="000000"/>
          <w:sz w:val="24"/>
        </w:rPr>
        <w:t>。</w:t>
      </w:r>
    </w:p>
    <w:p>
      <w:pPr>
        <w:pStyle w:val="17"/>
        <w:spacing w:line="400" w:lineRule="exact"/>
        <w:ind w:firstLine="480"/>
        <w:jc w:val="left"/>
        <w:rPr>
          <w:rFonts w:hint="default"/>
          <w:color w:val="000000"/>
        </w:rPr>
      </w:pPr>
      <w:r>
        <w:rPr>
          <w:b/>
          <w:color w:val="000000"/>
          <w:sz w:val="24"/>
        </w:rPr>
        <w:t>第七条不可抗力</w:t>
      </w:r>
    </w:p>
    <w:p>
      <w:pPr>
        <w:pStyle w:val="17"/>
        <w:spacing w:line="400" w:lineRule="exact"/>
        <w:ind w:firstLine="480"/>
        <w:jc w:val="left"/>
        <w:rPr>
          <w:rFonts w:hint="default"/>
          <w:color w:val="000000"/>
        </w:rPr>
      </w:pPr>
      <w:r>
        <w:rPr>
          <w:color w:val="000000"/>
          <w:sz w:val="24"/>
        </w:rPr>
        <w:t>（一）甲、乙双方任何一方由于不可抗力原因（指任何不可预见、不可避免并且不能克服的客观情况，包括但不限于自然灾害、爆炸、火灾、水灾、战争、暴动、暴乱和流行病以及行政措施和命令）不能履行合同时，应及时通报另一方不能履行或不能完全履行的理由，以减轻可能给各方造成的损失，在取得有关机构证明后，允许延期履行、部分履行或不履行合同，并根据情况可部分或全部免予承担违约责任。</w:t>
      </w:r>
    </w:p>
    <w:p>
      <w:pPr>
        <w:pStyle w:val="17"/>
        <w:spacing w:line="400" w:lineRule="exact"/>
        <w:ind w:firstLine="480"/>
        <w:jc w:val="left"/>
        <w:rPr>
          <w:rFonts w:hint="default"/>
          <w:color w:val="000000"/>
        </w:rPr>
      </w:pPr>
      <w:r>
        <w:rPr>
          <w:color w:val="000000"/>
          <w:sz w:val="24"/>
        </w:rPr>
        <w:t>（二）受到不可抗力影响的一方，应尽可能地采取合理的行为和适当的措施减轻不可抗力对本合同的履行所造成的影响。没有采取适当措施致使损失扩大的，该方不得就扩大损失的部分要求免责或赔偿。</w:t>
      </w:r>
    </w:p>
    <w:p>
      <w:pPr>
        <w:pStyle w:val="17"/>
        <w:spacing w:line="400" w:lineRule="exact"/>
        <w:ind w:firstLine="480"/>
        <w:jc w:val="left"/>
        <w:rPr>
          <w:rFonts w:hint="default"/>
          <w:color w:val="000000"/>
        </w:rPr>
      </w:pPr>
      <w:r>
        <w:rPr>
          <w:color w:val="000000"/>
          <w:sz w:val="24"/>
        </w:rPr>
        <w:t>（三）一旦不可抗力已经停止，受影响的一方应及时通知另一方，且应恢复履行本合同项下的义务。但如不可抗力事件持续超过30天，另一方有权终止合同，双方在不可抗力影响的范围内均无须承担任何法律责任（清付应缴未缴的款项的责任除外）。</w:t>
      </w:r>
    </w:p>
    <w:p>
      <w:pPr>
        <w:pStyle w:val="17"/>
        <w:spacing w:line="400" w:lineRule="exact"/>
        <w:ind w:firstLine="480"/>
        <w:jc w:val="left"/>
        <w:rPr>
          <w:rFonts w:hint="default"/>
          <w:color w:val="000000"/>
        </w:rPr>
      </w:pPr>
      <w:r>
        <w:rPr>
          <w:b/>
          <w:color w:val="000000"/>
          <w:sz w:val="24"/>
        </w:rPr>
        <w:t>第八条违约责任</w:t>
      </w:r>
    </w:p>
    <w:p>
      <w:pPr>
        <w:pStyle w:val="17"/>
        <w:spacing w:line="400" w:lineRule="exact"/>
        <w:ind w:firstLine="480"/>
        <w:jc w:val="left"/>
        <w:rPr>
          <w:rFonts w:hint="default"/>
          <w:color w:val="000000"/>
        </w:rPr>
      </w:pPr>
      <w:r>
        <w:rPr>
          <w:color w:val="000000"/>
          <w:sz w:val="24"/>
        </w:rPr>
        <w:t>（一）甲方的违约责任：</w:t>
      </w:r>
    </w:p>
    <w:p>
      <w:pPr>
        <w:pStyle w:val="17"/>
        <w:spacing w:line="400" w:lineRule="exact"/>
        <w:ind w:firstLine="480"/>
        <w:jc w:val="left"/>
        <w:rPr>
          <w:rFonts w:hint="default"/>
          <w:color w:val="000000"/>
        </w:rPr>
      </w:pPr>
      <w:r>
        <w:rPr>
          <w:color w:val="000000"/>
          <w:sz w:val="24"/>
        </w:rPr>
        <w:t>甲方未按本合同约定向乙方支付款项的，乙方有权要求甲方按照逾期支付款项的日万分之一向乙方支付违约金，但因乙方自身原因造成的除外。</w:t>
      </w:r>
    </w:p>
    <w:p>
      <w:pPr>
        <w:pStyle w:val="17"/>
        <w:spacing w:line="400" w:lineRule="exact"/>
        <w:ind w:firstLine="480"/>
        <w:jc w:val="left"/>
        <w:rPr>
          <w:rFonts w:hint="default"/>
          <w:color w:val="000000"/>
        </w:rPr>
      </w:pPr>
      <w:r>
        <w:rPr>
          <w:color w:val="000000"/>
          <w:sz w:val="24"/>
        </w:rPr>
        <w:t>（二）乙方的违约责任：</w:t>
      </w:r>
    </w:p>
    <w:p>
      <w:pPr>
        <w:pStyle w:val="17"/>
        <w:spacing w:line="400" w:lineRule="exact"/>
        <w:ind w:firstLine="480"/>
        <w:jc w:val="left"/>
        <w:rPr>
          <w:rFonts w:hint="default" w:ascii="Calibri" w:hAnsi="Calibri" w:eastAsia="宋体" w:cs="Times New Roman"/>
          <w:color w:val="000000"/>
          <w:sz w:val="24"/>
          <w:szCs w:val="20"/>
        </w:rPr>
      </w:pPr>
      <w:r>
        <w:rPr>
          <w:color w:val="000000"/>
          <w:sz w:val="24"/>
          <w:lang w:eastAsia="zh-CN"/>
        </w:rPr>
        <w:t>1.</w:t>
      </w:r>
      <w:r>
        <w:rPr>
          <w:rFonts w:hint="default" w:ascii="Calibri" w:hAnsi="Calibri" w:eastAsia="宋体" w:cs="Times New Roman"/>
          <w:color w:val="000000"/>
          <w:sz w:val="24"/>
          <w:szCs w:val="20"/>
        </w:rPr>
        <w:t>乙方未按本合同约定</w:t>
      </w:r>
      <w:r>
        <w:rPr>
          <w:rFonts w:hint="default"/>
          <w:color w:val="000000"/>
          <w:sz w:val="24"/>
          <w:lang w:eastAsia="zh-CN"/>
        </w:rPr>
        <w:t>和甲方要求及时供货</w:t>
      </w:r>
      <w:r>
        <w:rPr>
          <w:rFonts w:hint="default" w:ascii="Calibri" w:hAnsi="Calibri" w:eastAsia="宋体" w:cs="Times New Roman"/>
          <w:color w:val="000000"/>
          <w:sz w:val="24"/>
          <w:szCs w:val="20"/>
        </w:rPr>
        <w:t>的，从逾期之日起，甲方有权要求乙方按本项目总费用的日千分之一向甲方支付违约金直到乙方</w:t>
      </w:r>
      <w:r>
        <w:rPr>
          <w:rFonts w:hint="default"/>
          <w:color w:val="000000"/>
          <w:sz w:val="24"/>
          <w:lang w:eastAsia="zh-CN"/>
        </w:rPr>
        <w:t>交付</w:t>
      </w:r>
      <w:r>
        <w:rPr>
          <w:rFonts w:hint="default" w:ascii="Calibri" w:hAnsi="Calibri" w:eastAsia="宋体" w:cs="Times New Roman"/>
          <w:color w:val="000000"/>
          <w:sz w:val="24"/>
          <w:szCs w:val="20"/>
        </w:rPr>
        <w:t>之日止。</w:t>
      </w:r>
    </w:p>
    <w:p>
      <w:pPr>
        <w:pStyle w:val="17"/>
        <w:spacing w:line="400" w:lineRule="exact"/>
        <w:ind w:firstLine="480"/>
        <w:jc w:val="left"/>
        <w:rPr>
          <w:rFonts w:hint="default" w:ascii="Calibri" w:hAnsi="Calibri" w:eastAsia="宋体" w:cs="Times New Roman"/>
          <w:color w:val="000000"/>
          <w:sz w:val="24"/>
          <w:szCs w:val="20"/>
        </w:rPr>
      </w:pPr>
      <w:r>
        <w:rPr>
          <w:rFonts w:hint="default"/>
          <w:color w:val="000000"/>
          <w:sz w:val="24"/>
          <w:lang w:eastAsia="zh-CN"/>
        </w:rPr>
        <w:t>2.</w:t>
      </w:r>
      <w:r>
        <w:rPr>
          <w:rFonts w:hint="default" w:ascii="Calibri" w:hAnsi="Calibri" w:eastAsia="宋体" w:cs="Times New Roman"/>
          <w:color w:val="000000"/>
          <w:sz w:val="24"/>
          <w:szCs w:val="20"/>
        </w:rPr>
        <w:t>乙方发生以下情况的，甲方有权单方解除本合同、另行委托第三方提供服务或协助乙方，因此产生的费用由乙方全部承担，解除的通知自到达乙方之日起即生效；</w:t>
      </w:r>
      <w:r>
        <w:rPr>
          <w:rFonts w:hint="default"/>
          <w:color w:val="000000"/>
          <w:sz w:val="24"/>
        </w:rPr>
        <w:t>同时，甲方有权要求乙方在收到解除通知</w:t>
      </w:r>
      <w:r>
        <w:rPr>
          <w:rFonts w:hint="default" w:ascii="Calibri" w:hAnsi="Calibri" w:eastAsia="宋体" w:cs="Times New Roman"/>
          <w:color w:val="000000"/>
          <w:sz w:val="24"/>
          <w:szCs w:val="20"/>
        </w:rPr>
        <w:t>之日起三个工作日内将已收取款项剩余部分金额</w:t>
      </w:r>
      <w:r>
        <w:rPr>
          <w:rFonts w:hint="default"/>
          <w:color w:val="000000"/>
          <w:sz w:val="24"/>
        </w:rPr>
        <w:t>返还</w:t>
      </w:r>
      <w:r>
        <w:rPr>
          <w:rFonts w:hint="default" w:ascii="Calibri" w:hAnsi="Calibri" w:eastAsia="宋体" w:cs="Times New Roman"/>
          <w:color w:val="000000"/>
          <w:sz w:val="24"/>
          <w:szCs w:val="20"/>
        </w:rPr>
        <w:t>给甲方（乙方已经开具发票所产生的税费损失由乙方自行承担），也有权要求乙方支付本项目总费用</w:t>
      </w:r>
      <w:r>
        <w:rPr>
          <w:rFonts w:hint="default"/>
          <w:color w:val="000000"/>
          <w:sz w:val="24"/>
          <w:lang w:eastAsia="zh-CN"/>
        </w:rPr>
        <w:t>（即¥</w:t>
      </w:r>
      <w:r>
        <w:rPr>
          <w:rFonts w:hint="eastAsia"/>
          <w:color w:val="000000"/>
          <w:sz w:val="24"/>
          <w:lang w:eastAsia="zh-CN"/>
        </w:rPr>
        <w:t>5</w:t>
      </w:r>
      <w:r>
        <w:rPr>
          <w:rFonts w:hint="eastAsia"/>
          <w:color w:val="000000"/>
          <w:sz w:val="24"/>
          <w:lang w:val="en-US" w:eastAsia="zh-CN"/>
        </w:rPr>
        <w:t>46800</w:t>
      </w:r>
      <w:r>
        <w:rPr>
          <w:rFonts w:hint="default"/>
          <w:color w:val="000000"/>
          <w:sz w:val="24"/>
          <w:lang w:eastAsia="zh-CN"/>
        </w:rPr>
        <w:t>元）</w:t>
      </w:r>
      <w:r>
        <w:rPr>
          <w:rFonts w:hint="default" w:ascii="Calibri" w:hAnsi="Calibri" w:eastAsia="宋体" w:cs="Times New Roman"/>
          <w:color w:val="000000"/>
          <w:sz w:val="24"/>
          <w:szCs w:val="20"/>
        </w:rPr>
        <w:t>20％的违约金给甲方，若该违约金不足以弥补甲方因此遭受的全部损失（包括但不限于甲方为完成本项目而另行委托第三方所增加的费用、项目延误对上级单位考核造成的负面影响等），乙方还应予以补足：</w:t>
      </w:r>
    </w:p>
    <w:p>
      <w:pPr>
        <w:pStyle w:val="17"/>
        <w:spacing w:line="400" w:lineRule="exact"/>
        <w:ind w:firstLine="480"/>
        <w:jc w:val="left"/>
        <w:rPr>
          <w:rFonts w:ascii="仿宋" w:hAnsi="仿宋" w:eastAsia="仿宋" w:cs="仿宋"/>
          <w:color w:val="000000"/>
          <w:sz w:val="24"/>
          <w:szCs w:val="28"/>
        </w:rPr>
      </w:pPr>
      <w:r>
        <w:rPr>
          <w:rFonts w:hint="default" w:ascii="仿宋" w:hAnsi="仿宋" w:eastAsia="仿宋" w:cs="仿宋"/>
          <w:color w:val="000000"/>
          <w:sz w:val="24"/>
          <w:szCs w:val="28"/>
        </w:rPr>
        <w:t>（1）</w:t>
      </w:r>
      <w:r>
        <w:rPr>
          <w:color w:val="000000"/>
          <w:sz w:val="24"/>
        </w:rPr>
        <w:t>乙方逾期供货累计达到3次或单次逾期超过2小时的</w:t>
      </w:r>
      <w:r>
        <w:rPr>
          <w:rFonts w:hint="default" w:ascii="仿宋" w:hAnsi="仿宋" w:eastAsia="仿宋" w:cs="仿宋"/>
          <w:color w:val="000000"/>
          <w:sz w:val="24"/>
          <w:szCs w:val="28"/>
        </w:rPr>
        <w:t>；</w:t>
      </w:r>
    </w:p>
    <w:p>
      <w:pPr>
        <w:pStyle w:val="17"/>
        <w:spacing w:line="400" w:lineRule="exact"/>
        <w:ind w:firstLine="480"/>
        <w:jc w:val="left"/>
        <w:rPr>
          <w:rFonts w:ascii="仿宋" w:hAnsi="仿宋" w:eastAsia="仿宋" w:cs="仿宋"/>
          <w:color w:val="000000"/>
          <w:sz w:val="24"/>
          <w:szCs w:val="28"/>
        </w:rPr>
      </w:pPr>
      <w:r>
        <w:rPr>
          <w:rFonts w:hint="default" w:ascii="仿宋" w:hAnsi="仿宋" w:eastAsia="仿宋" w:cs="仿宋"/>
          <w:color w:val="000000"/>
          <w:sz w:val="24"/>
          <w:szCs w:val="28"/>
        </w:rPr>
        <w:t>（2）乙方</w:t>
      </w:r>
      <w:r>
        <w:rPr>
          <w:color w:val="000000"/>
          <w:sz w:val="24"/>
          <w:lang w:eastAsia="zh-CN"/>
        </w:rPr>
        <w:t>提供的货物质量不符合采购公告、本合同约定</w:t>
      </w:r>
      <w:r>
        <w:rPr>
          <w:rFonts w:hint="default" w:ascii="仿宋" w:hAnsi="仿宋" w:eastAsia="仿宋" w:cs="仿宋"/>
          <w:color w:val="000000"/>
          <w:sz w:val="24"/>
          <w:szCs w:val="28"/>
        </w:rPr>
        <w:t>以及</w:t>
      </w:r>
      <w:r>
        <w:rPr>
          <w:color w:val="000000"/>
          <w:sz w:val="24"/>
          <w:lang w:eastAsia="zh-CN"/>
        </w:rPr>
        <w:t>甲方要求</w:t>
      </w:r>
      <w:r>
        <w:rPr>
          <w:rFonts w:hint="default" w:ascii="仿宋" w:hAnsi="仿宋" w:eastAsia="仿宋" w:cs="仿宋"/>
          <w:color w:val="000000"/>
          <w:sz w:val="24"/>
          <w:szCs w:val="28"/>
        </w:rPr>
        <w:t>的</w:t>
      </w:r>
      <w:r>
        <w:rPr>
          <w:color w:val="000000"/>
          <w:sz w:val="24"/>
        </w:rPr>
        <w:t>，累计达到3次或导致食品安全事故的</w:t>
      </w:r>
      <w:r>
        <w:rPr>
          <w:rFonts w:hint="default" w:ascii="仿宋" w:hAnsi="仿宋" w:eastAsia="仿宋" w:cs="仿宋"/>
          <w:color w:val="000000"/>
          <w:sz w:val="24"/>
          <w:szCs w:val="28"/>
        </w:rPr>
        <w:t>；</w:t>
      </w:r>
    </w:p>
    <w:p>
      <w:pPr>
        <w:pStyle w:val="17"/>
        <w:spacing w:line="400" w:lineRule="exact"/>
        <w:ind w:firstLine="480"/>
        <w:jc w:val="left"/>
        <w:rPr>
          <w:rFonts w:hint="default"/>
          <w:color w:val="000000"/>
          <w:sz w:val="24"/>
          <w:lang w:eastAsia="zh-CN"/>
        </w:rPr>
      </w:pPr>
      <w:r>
        <w:rPr>
          <w:rFonts w:ascii="Calibri" w:hAnsi="Calibri" w:eastAsia="宋体" w:cs="Times New Roman"/>
          <w:color w:val="000000"/>
          <w:sz w:val="24"/>
          <w:szCs w:val="21"/>
        </w:rPr>
        <w:t>（3）未经甲方同意，乙方将本合同项目部分或全部转让第三人负责的</w:t>
      </w:r>
      <w:r>
        <w:rPr>
          <w:color w:val="000000"/>
          <w:sz w:val="24"/>
          <w:lang w:eastAsia="zh-CN"/>
        </w:rPr>
        <w:t>；</w:t>
      </w:r>
    </w:p>
    <w:p>
      <w:pPr>
        <w:pStyle w:val="17"/>
        <w:spacing w:line="400" w:lineRule="exact"/>
        <w:ind w:firstLine="480"/>
        <w:jc w:val="left"/>
        <w:rPr>
          <w:rFonts w:hint="default"/>
          <w:color w:val="000000"/>
          <w:lang w:eastAsia="zh-CN"/>
        </w:rPr>
      </w:pPr>
      <w:r>
        <w:rPr>
          <w:color w:val="000000"/>
          <w:sz w:val="24"/>
          <w:lang w:eastAsia="zh-CN"/>
        </w:rPr>
        <w:t>（4）乙方提供虚假的《</w:t>
      </w:r>
      <w:r>
        <w:rPr>
          <w:color w:val="000000"/>
          <w:sz w:val="24"/>
        </w:rPr>
        <w:t>江门市一周“菜篮子”价格动态</w:t>
      </w:r>
      <w:r>
        <w:rPr>
          <w:color w:val="000000"/>
          <w:sz w:val="24"/>
          <w:lang w:eastAsia="zh-CN"/>
        </w:rPr>
        <w:t>》、同类及相近品种产品或江门市超市（大昌</w:t>
      </w:r>
      <w:r>
        <w:rPr>
          <w:rFonts w:hint="eastAsia"/>
          <w:color w:val="000000"/>
          <w:sz w:val="24"/>
          <w:lang w:eastAsia="zh-CN"/>
        </w:rPr>
        <w:t>或</w:t>
      </w:r>
      <w:r>
        <w:rPr>
          <w:color w:val="000000"/>
          <w:sz w:val="24"/>
          <w:lang w:eastAsia="zh-CN"/>
        </w:rPr>
        <w:t>永利超市）等相关品类、单价给甲方的。</w:t>
      </w:r>
    </w:p>
    <w:p>
      <w:pPr>
        <w:pStyle w:val="17"/>
        <w:spacing w:line="400" w:lineRule="exact"/>
        <w:ind w:firstLine="480"/>
        <w:jc w:val="left"/>
        <w:rPr>
          <w:rFonts w:hint="default"/>
          <w:color w:val="000000"/>
        </w:rPr>
      </w:pPr>
      <w:r>
        <w:rPr>
          <w:b/>
          <w:color w:val="000000"/>
          <w:sz w:val="24"/>
        </w:rPr>
        <w:t>第九条双方确定，出现下列情形，致使本合同的履行成为不必要或不能的，可以解除本合同：</w:t>
      </w:r>
    </w:p>
    <w:p>
      <w:pPr>
        <w:pStyle w:val="17"/>
        <w:spacing w:line="400" w:lineRule="exact"/>
        <w:ind w:firstLine="480"/>
        <w:jc w:val="left"/>
        <w:rPr>
          <w:rFonts w:hint="default"/>
          <w:color w:val="000000"/>
        </w:rPr>
      </w:pPr>
      <w:r>
        <w:rPr>
          <w:color w:val="000000"/>
          <w:sz w:val="24"/>
        </w:rPr>
        <w:t>（一）发生不可抗力。</w:t>
      </w:r>
    </w:p>
    <w:p>
      <w:pPr>
        <w:pStyle w:val="17"/>
        <w:spacing w:line="400" w:lineRule="exact"/>
        <w:ind w:firstLine="480"/>
        <w:jc w:val="left"/>
        <w:rPr>
          <w:rFonts w:hint="default"/>
          <w:color w:val="000000"/>
        </w:rPr>
      </w:pPr>
      <w:r>
        <w:rPr>
          <w:color w:val="000000"/>
          <w:sz w:val="24"/>
        </w:rPr>
        <w:t>（二）因一方违约使合同不能继续履行或没有必要继续履行。</w:t>
      </w:r>
    </w:p>
    <w:p>
      <w:pPr>
        <w:pStyle w:val="17"/>
        <w:spacing w:line="400" w:lineRule="exact"/>
        <w:ind w:firstLine="480"/>
        <w:jc w:val="left"/>
        <w:rPr>
          <w:rFonts w:hint="default"/>
          <w:color w:val="000000"/>
        </w:rPr>
      </w:pPr>
      <w:r>
        <w:rPr>
          <w:color w:val="000000"/>
          <w:sz w:val="24"/>
        </w:rPr>
        <w:t>（三）出现法律法规或国家政策规定等特定情形导致合同不能继续履行。</w:t>
      </w:r>
    </w:p>
    <w:p>
      <w:pPr>
        <w:pStyle w:val="17"/>
        <w:spacing w:line="400" w:lineRule="exact"/>
        <w:ind w:firstLine="480"/>
        <w:jc w:val="left"/>
        <w:rPr>
          <w:rFonts w:hint="default"/>
          <w:color w:val="000000"/>
        </w:rPr>
      </w:pPr>
      <w:r>
        <w:rPr>
          <w:b/>
          <w:color w:val="000000"/>
          <w:sz w:val="24"/>
        </w:rPr>
        <w:t>第十条争议的解决办法</w:t>
      </w:r>
    </w:p>
    <w:p>
      <w:pPr>
        <w:pStyle w:val="17"/>
        <w:spacing w:line="400" w:lineRule="exact"/>
        <w:ind w:firstLine="480"/>
        <w:jc w:val="left"/>
        <w:rPr>
          <w:rFonts w:hint="default"/>
          <w:color w:val="000000"/>
        </w:rPr>
      </w:pPr>
      <w:r>
        <w:rPr>
          <w:color w:val="000000"/>
          <w:sz w:val="24"/>
        </w:rPr>
        <w:t>本合同在履行过程中发生的争议，由当事人双方协商解决。协商不成的，合同双方任意一方均可向甲方所在地有管辖权的人民法院提起诉讼处理。</w:t>
      </w:r>
    </w:p>
    <w:p>
      <w:pPr>
        <w:pStyle w:val="17"/>
        <w:spacing w:line="400" w:lineRule="exact"/>
        <w:ind w:firstLine="480"/>
        <w:jc w:val="left"/>
        <w:rPr>
          <w:rFonts w:hint="default"/>
          <w:color w:val="000000"/>
        </w:rPr>
      </w:pPr>
      <w:r>
        <w:rPr>
          <w:b/>
          <w:color w:val="000000"/>
          <w:sz w:val="24"/>
        </w:rPr>
        <w:t>第十一条其他</w:t>
      </w:r>
    </w:p>
    <w:p>
      <w:pPr>
        <w:pStyle w:val="17"/>
        <w:spacing w:line="400" w:lineRule="exact"/>
        <w:ind w:firstLine="480"/>
        <w:jc w:val="left"/>
        <w:rPr>
          <w:rFonts w:hint="default"/>
          <w:color w:val="000000"/>
          <w:sz w:val="24"/>
          <w:lang w:eastAsia="zh-CN"/>
        </w:rPr>
      </w:pPr>
      <w:r>
        <w:rPr>
          <w:color w:val="000000"/>
          <w:sz w:val="24"/>
        </w:rPr>
        <w:t>（一）合同如有未尽事宜，可以经甲、乙双方另行协商形成书面补充协议，书面补充协议经双方签字、盖章后生效。</w:t>
      </w:r>
      <w:r>
        <w:rPr>
          <w:color w:val="000000"/>
          <w:sz w:val="24"/>
          <w:lang w:eastAsia="zh-CN"/>
        </w:rPr>
        <w:t>补充协议与合同有同等法律效力。</w:t>
      </w:r>
    </w:p>
    <w:p>
      <w:pPr>
        <w:pStyle w:val="17"/>
        <w:spacing w:line="400" w:lineRule="exact"/>
        <w:ind w:firstLine="480"/>
        <w:jc w:val="left"/>
        <w:rPr>
          <w:rFonts w:hint="default"/>
          <w:color w:val="000000"/>
          <w:sz w:val="24"/>
          <w:lang w:eastAsia="zh-CN"/>
        </w:rPr>
      </w:pPr>
      <w:r>
        <w:rPr>
          <w:color w:val="000000"/>
          <w:sz w:val="24"/>
          <w:lang w:eastAsia="zh-CN"/>
        </w:rPr>
        <w:t>合同、补充协议与招投标文件、实施方案等内容约定不一致的地方，以甲乙双方签署的合同、补充协议的约定为准。</w:t>
      </w:r>
    </w:p>
    <w:p>
      <w:pPr>
        <w:pStyle w:val="17"/>
        <w:spacing w:line="400" w:lineRule="exact"/>
        <w:ind w:firstLine="480"/>
        <w:jc w:val="left"/>
        <w:rPr>
          <w:rFonts w:hint="default"/>
          <w:color w:val="000000"/>
          <w:sz w:val="24"/>
        </w:rPr>
      </w:pPr>
      <w:r>
        <w:rPr>
          <w:color w:val="000000"/>
          <w:sz w:val="24"/>
        </w:rPr>
        <w:t>（二）</w:t>
      </w:r>
      <w:r>
        <w:rPr>
          <w:color w:val="000000"/>
          <w:sz w:val="24"/>
          <w:szCs w:val="21"/>
        </w:rPr>
        <w:t>甲、乙双方在本协议履行过程中提供给对方的任一地址（包括但不限于注册经营地址、身份证户籍地址、实际经营地址、居住地址等）和联系方式（包括但不限于甲、乙双方指定的联系人手机号码、微信号、电子邮件等）为合同对方或者司法机关等文件有效的送达地址，文件一经到达或退回或拒收即视为送达。一方如有变更，应在变更前</w:t>
      </w:r>
      <w:r>
        <w:rPr>
          <w:rFonts w:hint="default"/>
          <w:color w:val="000000"/>
          <w:sz w:val="24"/>
          <w:szCs w:val="21"/>
        </w:rPr>
        <w:t>3</w:t>
      </w:r>
      <w:r>
        <w:rPr>
          <w:color w:val="000000"/>
          <w:sz w:val="24"/>
          <w:szCs w:val="21"/>
        </w:rPr>
        <w:t>个工作日内通知对方，否则，视为未变更</w:t>
      </w:r>
      <w:r>
        <w:rPr>
          <w:color w:val="000000"/>
          <w:sz w:val="24"/>
        </w:rPr>
        <w:t>。</w:t>
      </w:r>
    </w:p>
    <w:p>
      <w:pPr>
        <w:pStyle w:val="17"/>
        <w:spacing w:line="400" w:lineRule="exact"/>
        <w:ind w:firstLine="480"/>
        <w:jc w:val="left"/>
        <w:rPr>
          <w:rFonts w:hint="default"/>
          <w:color w:val="000000"/>
        </w:rPr>
      </w:pPr>
      <w:r>
        <w:rPr>
          <w:color w:val="000000"/>
          <w:sz w:val="24"/>
        </w:rPr>
        <w:t>（三）本合同一式肆份，自甲、乙双方签字</w:t>
      </w:r>
      <w:r>
        <w:rPr>
          <w:color w:val="000000"/>
          <w:sz w:val="24"/>
          <w:lang w:eastAsia="zh-CN"/>
        </w:rPr>
        <w:t>和</w:t>
      </w:r>
      <w:r>
        <w:rPr>
          <w:color w:val="000000"/>
          <w:sz w:val="24"/>
        </w:rPr>
        <w:t>盖章之日起生效，甲方执叁份、乙方执壹份，具有同等法律效力。</w:t>
      </w:r>
    </w:p>
    <w:p>
      <w:pPr>
        <w:pStyle w:val="17"/>
        <w:spacing w:line="400" w:lineRule="exact"/>
        <w:ind w:firstLine="480"/>
        <w:jc w:val="left"/>
        <w:rPr>
          <w:rFonts w:hint="default"/>
          <w:color w:val="000000"/>
        </w:rPr>
      </w:pPr>
      <w:r>
        <w:rPr>
          <w:color w:val="000000"/>
          <w:sz w:val="24"/>
        </w:rPr>
        <w:t>（四）以下为本合同附件，与本合同具有同等效力：</w:t>
      </w:r>
    </w:p>
    <w:p>
      <w:pPr>
        <w:pStyle w:val="17"/>
        <w:spacing w:line="400" w:lineRule="exact"/>
        <w:rPr>
          <w:rFonts w:hint="eastAsia"/>
          <w:color w:val="000000"/>
          <w:sz w:val="24"/>
        </w:rPr>
      </w:pPr>
      <w:r>
        <w:rPr>
          <w:color w:val="000000"/>
          <w:sz w:val="24"/>
        </w:rPr>
        <w:t>1．江门市市场监督管理局</w:t>
      </w:r>
      <w:r>
        <w:rPr>
          <w:b w:val="0"/>
          <w:color w:val="000000"/>
          <w:sz w:val="24"/>
          <w:szCs w:val="20"/>
        </w:rPr>
        <w:t>202</w:t>
      </w:r>
      <w:r>
        <w:rPr>
          <w:rFonts w:hint="eastAsia"/>
          <w:b w:val="0"/>
          <w:color w:val="000000"/>
          <w:sz w:val="24"/>
          <w:szCs w:val="20"/>
          <w:lang w:val="en-US" w:eastAsia="zh-CN"/>
        </w:rPr>
        <w:t>6</w:t>
      </w:r>
      <w:r>
        <w:rPr>
          <w:b w:val="0"/>
          <w:color w:val="000000"/>
          <w:sz w:val="24"/>
          <w:szCs w:val="20"/>
        </w:rPr>
        <w:t>年</w:t>
      </w:r>
      <w:r>
        <w:rPr>
          <w:rFonts w:hint="eastAsia"/>
          <w:b w:val="0"/>
          <w:color w:val="000000"/>
          <w:sz w:val="24"/>
          <w:szCs w:val="20"/>
          <w:lang w:val="en-US" w:eastAsia="zh-CN"/>
        </w:rPr>
        <w:t>2</w:t>
      </w:r>
      <w:r>
        <w:rPr>
          <w:b w:val="0"/>
          <w:color w:val="000000"/>
          <w:sz w:val="24"/>
          <w:szCs w:val="20"/>
          <w:lang w:eastAsia="zh-CN"/>
        </w:rPr>
        <w:t>月-2026年</w:t>
      </w:r>
      <w:r>
        <w:rPr>
          <w:rFonts w:hint="eastAsia"/>
          <w:b w:val="0"/>
          <w:color w:val="000000"/>
          <w:sz w:val="24"/>
          <w:szCs w:val="20"/>
          <w:lang w:val="en-US" w:eastAsia="zh-CN"/>
        </w:rPr>
        <w:t>7</w:t>
      </w:r>
      <w:r>
        <w:rPr>
          <w:b w:val="0"/>
          <w:color w:val="000000"/>
          <w:sz w:val="24"/>
          <w:szCs w:val="20"/>
          <w:lang w:eastAsia="zh-CN"/>
        </w:rPr>
        <w:t>月</w:t>
      </w:r>
      <w:r>
        <w:rPr>
          <w:color w:val="000000"/>
          <w:sz w:val="24"/>
        </w:rPr>
        <w:t>职工食堂原料采购项目</w:t>
      </w:r>
      <w:r>
        <w:rPr>
          <w:color w:val="000000"/>
          <w:sz w:val="24"/>
          <w:lang w:eastAsia="zh-CN"/>
        </w:rPr>
        <w:t>采购</w:t>
      </w:r>
      <w:r>
        <w:rPr>
          <w:color w:val="000000"/>
          <w:sz w:val="24"/>
        </w:rPr>
        <w:t>公告；</w:t>
      </w:r>
    </w:p>
    <w:p>
      <w:pPr>
        <w:pStyle w:val="17"/>
        <w:spacing w:line="400" w:lineRule="exact"/>
        <w:rPr>
          <w:rFonts w:hint="default"/>
          <w:color w:val="000000"/>
        </w:rPr>
      </w:pPr>
      <w:r>
        <w:rPr>
          <w:color w:val="000000"/>
          <w:sz w:val="24"/>
        </w:rPr>
        <w:t>2．江门市市场监督管理局</w:t>
      </w:r>
      <w:r>
        <w:rPr>
          <w:b w:val="0"/>
          <w:color w:val="000000"/>
          <w:sz w:val="24"/>
          <w:szCs w:val="20"/>
        </w:rPr>
        <w:t>202</w:t>
      </w:r>
      <w:r>
        <w:rPr>
          <w:rFonts w:hint="eastAsia"/>
          <w:b w:val="0"/>
          <w:color w:val="000000"/>
          <w:sz w:val="24"/>
          <w:szCs w:val="20"/>
          <w:lang w:val="en-US" w:eastAsia="zh-CN"/>
        </w:rPr>
        <w:t>6</w:t>
      </w:r>
      <w:r>
        <w:rPr>
          <w:b w:val="0"/>
          <w:color w:val="000000"/>
          <w:sz w:val="24"/>
          <w:szCs w:val="20"/>
        </w:rPr>
        <w:t>年</w:t>
      </w:r>
      <w:r>
        <w:rPr>
          <w:rFonts w:hint="eastAsia"/>
          <w:b w:val="0"/>
          <w:color w:val="000000"/>
          <w:sz w:val="24"/>
          <w:szCs w:val="20"/>
          <w:lang w:val="en-US" w:eastAsia="zh-CN"/>
        </w:rPr>
        <w:t>2</w:t>
      </w:r>
      <w:r>
        <w:rPr>
          <w:b w:val="0"/>
          <w:color w:val="000000"/>
          <w:sz w:val="24"/>
          <w:szCs w:val="20"/>
          <w:lang w:eastAsia="zh-CN"/>
        </w:rPr>
        <w:t>月-2026年</w:t>
      </w:r>
      <w:r>
        <w:rPr>
          <w:rFonts w:hint="eastAsia"/>
          <w:b w:val="0"/>
          <w:color w:val="000000"/>
          <w:sz w:val="24"/>
          <w:szCs w:val="20"/>
          <w:lang w:val="en-US" w:eastAsia="zh-CN"/>
        </w:rPr>
        <w:t>7</w:t>
      </w:r>
      <w:r>
        <w:rPr>
          <w:b w:val="0"/>
          <w:color w:val="000000"/>
          <w:sz w:val="24"/>
          <w:szCs w:val="20"/>
          <w:lang w:eastAsia="zh-CN"/>
        </w:rPr>
        <w:t>月</w:t>
      </w:r>
      <w:r>
        <w:rPr>
          <w:color w:val="000000"/>
          <w:sz w:val="24"/>
        </w:rPr>
        <w:t>职工食堂原料采购项目中标结果公告；</w:t>
      </w:r>
    </w:p>
    <w:p>
      <w:pPr>
        <w:pStyle w:val="17"/>
        <w:spacing w:line="400" w:lineRule="exact"/>
        <w:rPr>
          <w:rFonts w:hint="default"/>
          <w:color w:val="000000"/>
        </w:rPr>
      </w:pPr>
      <w:r>
        <w:rPr>
          <w:color w:val="000000"/>
          <w:sz w:val="24"/>
        </w:rPr>
        <w:t>3．其他附件及补充协议等资料。</w:t>
      </w:r>
    </w:p>
    <w:p>
      <w:pPr>
        <w:pStyle w:val="17"/>
        <w:ind w:firstLine="480" w:firstLineChars="200"/>
        <w:rPr>
          <w:rFonts w:hint="default"/>
          <w:color w:val="000000"/>
          <w:sz w:val="24"/>
          <w:lang w:eastAsia="zh-Hans"/>
        </w:rPr>
      </w:pPr>
      <w:r>
        <w:rPr>
          <w:color w:val="000000"/>
          <w:sz w:val="24"/>
          <w:lang w:eastAsia="zh-Hans"/>
        </w:rPr>
        <w:t>（以下无正文）</w:t>
      </w:r>
    </w:p>
    <w:p>
      <w:pPr>
        <w:pStyle w:val="17"/>
        <w:ind w:firstLine="482"/>
        <w:jc w:val="both"/>
        <w:rPr>
          <w:b/>
          <w:color w:val="000000"/>
          <w:sz w:val="24"/>
        </w:rPr>
      </w:pPr>
    </w:p>
    <w:p>
      <w:pPr>
        <w:pStyle w:val="17"/>
        <w:ind w:firstLine="482"/>
        <w:jc w:val="both"/>
        <w:rPr>
          <w:rFonts w:hint="default"/>
          <w:color w:val="000000"/>
        </w:rPr>
      </w:pPr>
      <w:r>
        <w:rPr>
          <w:b/>
          <w:color w:val="000000"/>
          <w:sz w:val="24"/>
        </w:rPr>
        <w:t>甲方</w:t>
      </w:r>
      <w:r>
        <w:rPr>
          <w:color w:val="000000"/>
          <w:sz w:val="24"/>
        </w:rPr>
        <w:t>：江门市市场监督管理局</w:t>
      </w:r>
    </w:p>
    <w:p>
      <w:pPr>
        <w:pStyle w:val="17"/>
        <w:ind w:firstLine="1920"/>
        <w:jc w:val="both"/>
        <w:rPr>
          <w:rFonts w:hint="default"/>
          <w:color w:val="000000"/>
        </w:rPr>
      </w:pPr>
      <w:r>
        <w:rPr>
          <w:color w:val="000000"/>
          <w:sz w:val="24"/>
        </w:rPr>
        <w:t>（盖章）</w:t>
      </w:r>
    </w:p>
    <w:p>
      <w:pPr>
        <w:pStyle w:val="17"/>
        <w:ind w:firstLine="480"/>
        <w:jc w:val="both"/>
        <w:rPr>
          <w:rFonts w:hint="default"/>
          <w:color w:val="000000"/>
        </w:rPr>
      </w:pPr>
      <w:r>
        <w:rPr>
          <w:color w:val="000000"/>
          <w:sz w:val="24"/>
        </w:rPr>
        <w:t xml:space="preserve">法定代表人或授权委托人：（签字）  </w:t>
      </w:r>
    </w:p>
    <w:p>
      <w:pPr>
        <w:pStyle w:val="17"/>
        <w:ind w:firstLine="1680"/>
        <w:jc w:val="both"/>
        <w:rPr>
          <w:rFonts w:hint="default"/>
          <w:color w:val="000000"/>
        </w:rPr>
      </w:pPr>
      <w:r>
        <w:rPr>
          <w:color w:val="000000"/>
          <w:sz w:val="24"/>
        </w:rPr>
        <w:t>年  月  日</w:t>
      </w:r>
    </w:p>
    <w:p>
      <w:pPr>
        <w:pStyle w:val="17"/>
        <w:ind w:firstLine="480"/>
        <w:jc w:val="both"/>
        <w:rPr>
          <w:rFonts w:hint="default"/>
          <w:color w:val="000000"/>
        </w:rPr>
      </w:pPr>
      <w:r>
        <w:rPr>
          <w:color w:val="000000"/>
          <w:sz w:val="21"/>
        </w:rPr>
        <w:t xml:space="preserve"> </w:t>
      </w:r>
    </w:p>
    <w:p>
      <w:pPr>
        <w:pStyle w:val="17"/>
        <w:ind w:firstLine="560"/>
        <w:jc w:val="both"/>
        <w:rPr>
          <w:rFonts w:hint="default"/>
          <w:color w:val="000000"/>
        </w:rPr>
      </w:pPr>
      <w:r>
        <w:rPr>
          <w:b/>
          <w:color w:val="000000"/>
          <w:sz w:val="24"/>
        </w:rPr>
        <w:t>乙方</w:t>
      </w:r>
      <w:r>
        <w:rPr>
          <w:color w:val="000000"/>
          <w:sz w:val="24"/>
        </w:rPr>
        <w:t>：</w:t>
      </w:r>
    </w:p>
    <w:p>
      <w:pPr>
        <w:pStyle w:val="17"/>
        <w:ind w:firstLine="2073"/>
        <w:jc w:val="both"/>
        <w:rPr>
          <w:rFonts w:hint="default"/>
          <w:color w:val="000000"/>
        </w:rPr>
      </w:pPr>
      <w:r>
        <w:rPr>
          <w:color w:val="000000"/>
          <w:sz w:val="24"/>
        </w:rPr>
        <w:t>（盖章）</w:t>
      </w:r>
    </w:p>
    <w:p>
      <w:pPr>
        <w:pStyle w:val="17"/>
        <w:ind w:firstLine="480"/>
        <w:jc w:val="both"/>
        <w:rPr>
          <w:rFonts w:hint="default"/>
          <w:color w:val="000000"/>
        </w:rPr>
      </w:pPr>
      <w:r>
        <w:rPr>
          <w:color w:val="000000"/>
          <w:sz w:val="24"/>
        </w:rPr>
        <w:t>法定代表人或授权委托人：（签字）</w:t>
      </w:r>
    </w:p>
    <w:p>
      <w:pPr>
        <w:pStyle w:val="17"/>
        <w:ind w:firstLine="1680"/>
        <w:jc w:val="both"/>
        <w:rPr>
          <w:rFonts w:hint="default"/>
          <w:color w:val="000000"/>
        </w:rPr>
      </w:pPr>
      <w:r>
        <w:rPr>
          <w:color w:val="000000"/>
          <w:sz w:val="24"/>
        </w:rPr>
        <w:t>年  月  日</w:t>
      </w:r>
    </w:p>
    <w:p>
      <w:pPr>
        <w:pStyle w:val="17"/>
        <w:rPr>
          <w:rFonts w:hint="default"/>
          <w:color w:val="000000"/>
        </w:rPr>
      </w:pPr>
    </w:p>
    <w:p>
      <w:pPr>
        <w:pStyle w:val="17"/>
        <w:rPr>
          <w:rFonts w:hint="default"/>
          <w:color w:val="000000"/>
        </w:rPr>
      </w:pPr>
    </w:p>
    <w:p>
      <w:pPr>
        <w:pStyle w:val="17"/>
        <w:ind w:firstLine="480"/>
        <w:rPr>
          <w:color w:val="000000"/>
        </w:rPr>
      </w:pPr>
      <w:r>
        <w:rPr>
          <w:color w:val="000000"/>
        </w:rPr>
        <w:t xml:space="preserve"> </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53B52B8D"/>
    <w:rsid w:val="000069D5"/>
    <w:rsid w:val="0003089C"/>
    <w:rsid w:val="000F33F1"/>
    <w:rsid w:val="001370D8"/>
    <w:rsid w:val="001E0A01"/>
    <w:rsid w:val="002217E9"/>
    <w:rsid w:val="00247B97"/>
    <w:rsid w:val="00263752"/>
    <w:rsid w:val="002B179C"/>
    <w:rsid w:val="00301BEA"/>
    <w:rsid w:val="0031351A"/>
    <w:rsid w:val="00326FD9"/>
    <w:rsid w:val="003574DF"/>
    <w:rsid w:val="003751AD"/>
    <w:rsid w:val="00385E7E"/>
    <w:rsid w:val="0038669D"/>
    <w:rsid w:val="004061BA"/>
    <w:rsid w:val="004E02FC"/>
    <w:rsid w:val="004E2D5E"/>
    <w:rsid w:val="005761A6"/>
    <w:rsid w:val="005B6152"/>
    <w:rsid w:val="005C75CA"/>
    <w:rsid w:val="005E3AB4"/>
    <w:rsid w:val="00643957"/>
    <w:rsid w:val="00681041"/>
    <w:rsid w:val="00722D83"/>
    <w:rsid w:val="00797EBE"/>
    <w:rsid w:val="00847480"/>
    <w:rsid w:val="00870400"/>
    <w:rsid w:val="008A0FE2"/>
    <w:rsid w:val="00926878"/>
    <w:rsid w:val="00934AB1"/>
    <w:rsid w:val="009410B5"/>
    <w:rsid w:val="009D4025"/>
    <w:rsid w:val="00A71EE9"/>
    <w:rsid w:val="00B94929"/>
    <w:rsid w:val="00BE2A48"/>
    <w:rsid w:val="00C268EC"/>
    <w:rsid w:val="00C62899"/>
    <w:rsid w:val="00CA007B"/>
    <w:rsid w:val="00D6238F"/>
    <w:rsid w:val="00D63958"/>
    <w:rsid w:val="00DF5E71"/>
    <w:rsid w:val="00E87CF2"/>
    <w:rsid w:val="00EA0859"/>
    <w:rsid w:val="00EC7991"/>
    <w:rsid w:val="00ED5E97"/>
    <w:rsid w:val="00F123E8"/>
    <w:rsid w:val="00F95AF3"/>
    <w:rsid w:val="10E21D3D"/>
    <w:rsid w:val="177F50ED"/>
    <w:rsid w:val="17BDAC8A"/>
    <w:rsid w:val="2B37D2EF"/>
    <w:rsid w:val="39B77FCE"/>
    <w:rsid w:val="4B8F1151"/>
    <w:rsid w:val="53B52B8D"/>
    <w:rsid w:val="54FE1900"/>
    <w:rsid w:val="57FF82D3"/>
    <w:rsid w:val="6BFFE22E"/>
    <w:rsid w:val="77F79321"/>
    <w:rsid w:val="797BD5D8"/>
    <w:rsid w:val="79930675"/>
    <w:rsid w:val="79FFFBA0"/>
    <w:rsid w:val="7B1FE32A"/>
    <w:rsid w:val="7BE780D3"/>
    <w:rsid w:val="7F6D601D"/>
    <w:rsid w:val="7FF7D54F"/>
    <w:rsid w:val="7FFDECB1"/>
    <w:rsid w:val="ADF6DF65"/>
    <w:rsid w:val="AFF1A087"/>
    <w:rsid w:val="B5EE54EB"/>
    <w:rsid w:val="BAD7FECE"/>
    <w:rsid w:val="BBBF7779"/>
    <w:rsid w:val="C38316F5"/>
    <w:rsid w:val="CEDF06DE"/>
    <w:rsid w:val="CEFA28F1"/>
    <w:rsid w:val="D5EEF333"/>
    <w:rsid w:val="DAFF2BC8"/>
    <w:rsid w:val="EBAFC31F"/>
    <w:rsid w:val="F5EBFEF9"/>
    <w:rsid w:val="F5F7A32B"/>
    <w:rsid w:val="F7FF836B"/>
    <w:rsid w:val="F95F948C"/>
    <w:rsid w:val="FEA91CB8"/>
    <w:rsid w:val="FEE67327"/>
    <w:rsid w:val="FFBFAE7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kern w:val="44"/>
      <w:sz w:val="48"/>
      <w:szCs w:val="48"/>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3">
    <w:name w:val="annotation text"/>
    <w:basedOn w:val="1"/>
    <w:link w:val="12"/>
    <w:qFormat/>
    <w:uiPriority w:val="0"/>
    <w:pPr>
      <w:jc w:val="left"/>
    </w:pPr>
  </w:style>
  <w:style w:type="paragraph" w:styleId="4">
    <w:name w:val="Balloon Text"/>
    <w:basedOn w:val="1"/>
    <w:link w:val="13"/>
    <w:qFormat/>
    <w:uiPriority w:val="0"/>
    <w:rPr>
      <w:sz w:val="18"/>
      <w:szCs w:val="18"/>
    </w:rPr>
  </w:style>
  <w:style w:type="paragraph" w:styleId="5">
    <w:name w:val="footer"/>
    <w:basedOn w:val="1"/>
    <w:link w:val="14"/>
    <w:qFormat/>
    <w:uiPriority w:val="0"/>
    <w:pPr>
      <w:tabs>
        <w:tab w:val="center" w:pos="4153"/>
        <w:tab w:val="right" w:pos="8306"/>
      </w:tabs>
      <w:snapToGrid w:val="0"/>
      <w:jc w:val="left"/>
    </w:pPr>
    <w:rPr>
      <w:sz w:val="18"/>
      <w:szCs w:val="18"/>
    </w:rPr>
  </w:style>
  <w:style w:type="paragraph" w:styleId="6">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6"/>
    <w:qFormat/>
    <w:uiPriority w:val="0"/>
    <w:rPr>
      <w:b/>
      <w:bCs/>
    </w:rPr>
  </w:style>
  <w:style w:type="table" w:styleId="9">
    <w:name w:val="Table Grid"/>
    <w:basedOn w:val="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annotation reference"/>
    <w:basedOn w:val="10"/>
    <w:qFormat/>
    <w:uiPriority w:val="0"/>
    <w:rPr>
      <w:sz w:val="21"/>
      <w:szCs w:val="21"/>
    </w:rPr>
  </w:style>
  <w:style w:type="character" w:customStyle="1" w:styleId="12">
    <w:name w:val="批注文字 Char"/>
    <w:basedOn w:val="10"/>
    <w:link w:val="3"/>
    <w:qFormat/>
    <w:uiPriority w:val="0"/>
    <w:rPr>
      <w:kern w:val="2"/>
      <w:sz w:val="21"/>
      <w:szCs w:val="24"/>
    </w:rPr>
  </w:style>
  <w:style w:type="character" w:customStyle="1" w:styleId="13">
    <w:name w:val="批注框文本 Char"/>
    <w:basedOn w:val="10"/>
    <w:link w:val="4"/>
    <w:qFormat/>
    <w:uiPriority w:val="0"/>
    <w:rPr>
      <w:kern w:val="2"/>
      <w:sz w:val="18"/>
      <w:szCs w:val="18"/>
    </w:rPr>
  </w:style>
  <w:style w:type="character" w:customStyle="1" w:styleId="14">
    <w:name w:val="页脚 Char"/>
    <w:basedOn w:val="10"/>
    <w:link w:val="5"/>
    <w:qFormat/>
    <w:uiPriority w:val="0"/>
    <w:rPr>
      <w:kern w:val="2"/>
      <w:sz w:val="18"/>
      <w:szCs w:val="18"/>
    </w:rPr>
  </w:style>
  <w:style w:type="character" w:customStyle="1" w:styleId="15">
    <w:name w:val="页眉 Char"/>
    <w:basedOn w:val="10"/>
    <w:link w:val="6"/>
    <w:qFormat/>
    <w:uiPriority w:val="0"/>
    <w:rPr>
      <w:kern w:val="2"/>
      <w:sz w:val="18"/>
      <w:szCs w:val="18"/>
    </w:rPr>
  </w:style>
  <w:style w:type="character" w:customStyle="1" w:styleId="16">
    <w:name w:val="批注主题 Char"/>
    <w:basedOn w:val="12"/>
    <w:link w:val="7"/>
    <w:qFormat/>
    <w:uiPriority w:val="0"/>
    <w:rPr>
      <w:b/>
      <w:bCs/>
      <w:kern w:val="2"/>
      <w:sz w:val="21"/>
      <w:szCs w:val="24"/>
    </w:rPr>
  </w:style>
  <w:style w:type="paragraph" w:customStyle="1" w:styleId="17">
    <w:name w:val="null3"/>
    <w:qFormat/>
    <w:uiPriority w:val="0"/>
    <w:rPr>
      <w:rFonts w:hint="eastAsia" w:ascii="Calibri" w:hAnsi="Calibri" w:eastAsia="宋体" w:cs="Times New Roman"/>
      <w:lang w:val="en-US" w:eastAsia="zh-Hans" w:bidi="ar-SA"/>
    </w:rPr>
  </w:style>
  <w:style w:type="paragraph" w:customStyle="1" w:styleId="18">
    <w:name w:val="修订1"/>
    <w:unhideWhenUsed/>
    <w:qFormat/>
    <w:uiPriority w:val="99"/>
    <w:rPr>
      <w:rFonts w:ascii="Calibri" w:hAnsi="Calibri" w:eastAsia="宋体" w:cs="Times New Roman"/>
      <w:kern w:val="2"/>
      <w:sz w:val="21"/>
      <w:szCs w:val="24"/>
      <w:lang w:val="en-US" w:eastAsia="zh-CN" w:bidi="ar-SA"/>
    </w:rPr>
  </w:style>
  <w:style w:type="paragraph" w:customStyle="1" w:styleId="19">
    <w:name w:val="Revision"/>
    <w:unhideWhenUsed/>
    <w:qFormat/>
    <w:uiPriority w:val="99"/>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10</Pages>
  <Words>1180</Words>
  <Characters>6726</Characters>
  <Lines>56</Lines>
  <Paragraphs>15</Paragraphs>
  <TotalTime>223</TotalTime>
  <ScaleCrop>false</ScaleCrop>
  <LinksUpToDate>false</LinksUpToDate>
  <CharactersWithSpaces>7891</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2025-04-03T23:27:00Z</dcterms:created>
  <dc:creator>五块钱</dc:creator>
  <cp:lastModifiedBy>greatwall</cp:lastModifiedBy>
  <cp:lastPrinted>2026-01-18T18:03:00Z</cp:lastPrinted>
  <dcterms:modified xsi:type="dcterms:W3CDTF">2026-03-30T16:03:44Z</dcterms:modified>
  <dc:title>江门市市场监督管理局2026年2月-2026年7月职工食堂原料采购项目合同</dc:title>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60E8D97BD1A998D30B916D6979B67520_43</vt:lpwstr>
  </property>
  <property fmtid="{D5CDD505-2E9C-101B-9397-08002B2CF9AE}" pid="4" name="KSOTemplateDocerSaveRecord">
    <vt:lpwstr>eyJoZGlkIjoiNTQ4YzZjMzY1NDdkN2MyZjI4YTU5YmNlZmI5NTQ4YWQiLCJ1c2VySWQiOiI1NjI2MjAzMTUifQ==</vt:lpwstr>
  </property>
</Properties>
</file>