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EBAB6">
      <w:pPr>
        <w:widowControl/>
        <w:shd w:val="clear" w:color="auto" w:fill="FFFFFF"/>
        <w:spacing w:line="560" w:lineRule="exact"/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2</w:t>
      </w:r>
    </w:p>
    <w:p w14:paraId="0BA26968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江门市生态环境局202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年-202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eastAsia="方正小标宋简体"/>
          <w:sz w:val="36"/>
          <w:szCs w:val="36"/>
        </w:rPr>
        <w:t>年公务用车租赁服务</w:t>
      </w:r>
    </w:p>
    <w:p w14:paraId="341BFEF5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采购项目综合评分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标准</w:t>
      </w:r>
    </w:p>
    <w:p w14:paraId="2FE17406"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10026" w:type="dxa"/>
        <w:jc w:val="center"/>
        <w:tblLayout w:type="autofit"/>
        <w:tblCellMar>
          <w:top w:w="0" w:type="dxa"/>
          <w:left w:w="108" w:type="dxa"/>
          <w:bottom w:w="67" w:type="dxa"/>
          <w:right w:w="0" w:type="dxa"/>
        </w:tblCellMar>
      </w:tblPr>
      <w:tblGrid>
        <w:gridCol w:w="655"/>
        <w:gridCol w:w="1763"/>
        <w:gridCol w:w="6495"/>
        <w:gridCol w:w="1113"/>
      </w:tblGrid>
      <w:tr w14:paraId="18C271DF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22" w:hRule="atLeast"/>
          <w:tblHeader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772C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8935B"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评价项目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59819">
            <w:pPr>
              <w:widowControl/>
              <w:spacing w:line="400" w:lineRule="exact"/>
              <w:ind w:right="107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评价标准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ADE2">
            <w:pPr>
              <w:widowControl/>
              <w:spacing w:line="4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 w14:paraId="3401D93F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10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7893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1B3D0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经营业绩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DAC93">
            <w:pPr>
              <w:widowControl/>
              <w:spacing w:line="360" w:lineRule="exact"/>
              <w:ind w:right="108" w:firstLine="470" w:firstLineChars="196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年以来服务商承担过机关、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事业单位租车服务工作的，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每提供一份有效合同得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5分，本项最高20分。</w:t>
            </w:r>
          </w:p>
          <w:p w14:paraId="17CC74B9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服务商须附业绩合同关键页复印件或中标通知书复印件，不提供相关证明不得分。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9D958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20</w:t>
            </w:r>
          </w:p>
        </w:tc>
      </w:tr>
      <w:tr w14:paraId="1467F4A2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99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9CE7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D54E4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767FE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车辆使用时间在5年以内（含5年）且年检合格的，得10分；</w:t>
            </w:r>
          </w:p>
          <w:p w14:paraId="0764CB84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数量车辆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使用时间在10年以内（含10年）且年检合格的，得5分；</w:t>
            </w:r>
          </w:p>
          <w:p w14:paraId="1B479B8A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服务商须附相关证明资料，不提供相关证明不得分。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3B3A8"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</w:t>
            </w:r>
          </w:p>
        </w:tc>
      </w:tr>
      <w:tr w14:paraId="1B27CE83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83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ED250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41955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车型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6498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可供租赁的车辆包含小轿车、商务车、中型普通客车和大型客车四种车型，且车辆数量不少于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其中小轿车不少于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辆、商务车不少于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5分；</w:t>
            </w:r>
          </w:p>
          <w:p w14:paraId="27F1EFA0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2、可供租赁的车辆包含小轿车、商务车、中型普通客车和大型客车四种车型，且车辆数量为不少于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</w:t>
            </w:r>
          </w:p>
          <w:p w14:paraId="3BD13CBB"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3、可供租赁的车辆供包含小轿车、商务车两种车型，且车辆数量不少于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辆的，得5分。</w:t>
            </w:r>
          </w:p>
          <w:p w14:paraId="7B66AC3A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可供租赁的车辆须为服务商所有，服务商须详细列明可供租赁的车辆信息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包括车辆行驶证复印件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车辆图册。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6E332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 w14:paraId="239908E9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EB208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93628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价格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3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价格分应当采用低价优先法计算，即满足采购需求且报价最低的为基准价，该项价格得分为满分。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设小轿车型与商务车型分值各10分，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分值各5分。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其他供应商的价格得分统一按照下列公式计算：供应商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小轿车型与商务车型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10，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，价格得分四舍五入后保留小数点后两位有效数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，小轿车型、商务车型、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之和为该项目总得分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。</w:t>
            </w:r>
          </w:p>
          <w:p w14:paraId="24E49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2E11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30</w:t>
            </w:r>
          </w:p>
        </w:tc>
      </w:tr>
      <w:tr w14:paraId="1BE9E282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B22BC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73E57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车辆保险情况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0059C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1、车辆购买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机动车交通事故责任强制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险；</w:t>
            </w:r>
          </w:p>
          <w:p w14:paraId="7231D8ED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2、车辆购买第三者责任保险金额不低于300万（含300万）；</w:t>
            </w:r>
          </w:p>
          <w:p w14:paraId="50D802E4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3、车辆购买乘客人员意外事故保险金额不低于40万元的；</w:t>
            </w:r>
          </w:p>
          <w:p w14:paraId="53C7DF24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服务商供本项目使用的车辆符合上述三点条款的，得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分；只符合上述其中两点条款的，得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只符合上述其中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一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分。参与服务商应提供相关保险证明资料，不提供相关证明不得分。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7557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 w14:paraId="0DEDBE12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FB8F5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C0C4A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DC6D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驾驶人员必须具有驾驶车辆相应的驾照和5年及以上驾驶经历，在3年内未发生严重交通事故，也未被公安交管部门处以刑事拘留及以上处罚。</w:t>
            </w:r>
          </w:p>
          <w:p w14:paraId="26F2D78F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服务商提供符合上述要求的随车驾驶人员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人以上(含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人)，得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分；服务商提供的随车驾驶人员不符合上述要求的，不得分。</w:t>
            </w:r>
          </w:p>
          <w:p w14:paraId="5FC2A571"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参与服务商应提供驾驶员资格证书并加盖公章。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894AF"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10</w:t>
            </w:r>
          </w:p>
        </w:tc>
      </w:tr>
      <w:tr w14:paraId="070802FF"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52648"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8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E34D1">
            <w:pPr>
              <w:widowControl/>
              <w:spacing w:line="360" w:lineRule="exact"/>
              <w:ind w:right="108" w:firstLine="472" w:firstLineChars="196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ascii="仿宋_GB2312" w:hAnsi="Helvetica" w:eastAsia="仿宋_GB2312" w:cs="Helvetica"/>
                <w:b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FE679"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100</w:t>
            </w:r>
          </w:p>
        </w:tc>
      </w:tr>
    </w:tbl>
    <w:p w14:paraId="7E69197A">
      <w:pPr>
        <w:widowControl/>
        <w:shd w:val="clear" w:color="auto" w:fill="FFFFFF"/>
        <w:spacing w:line="560" w:lineRule="exact"/>
        <w:jc w:val="left"/>
        <w:rPr>
          <w:rFonts w:ascii="仿宋_GB2312" w:hAnsi="Helvetica" w:eastAsia="仿宋_GB2312" w:cs="Helvetica"/>
          <w:color w:val="000000"/>
          <w:kern w:val="0"/>
          <w:sz w:val="32"/>
          <w:szCs w:val="32"/>
        </w:rPr>
      </w:pPr>
    </w:p>
    <w:p w14:paraId="6A458E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00E81"/>
    <w:rsid w:val="4C500E81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2026-03-11T00:50:00Z</dcterms:created>
  <dc:creator>李耀明</dc:creator>
  <cp:lastModifiedBy>李耀明</cp:lastModifiedBy>
  <dcterms:modified xsi:type="dcterms:W3CDTF">2026-03-11T00:51:34Z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4C4F214342334BBD855F3D5385049310_11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