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keepNext w:val="0"/>
        <w:keepLines w:val="0"/>
        <w:pageBreakBefore w:val="0"/>
        <w:widowControl w:val="0"/>
        <w:kinsoku/>
        <w:wordWrap/>
        <w:overflowPunct/>
        <w:topLinePunct w:val="0"/>
        <w:bidi w:val="0"/>
        <w:spacing w:line="540" w:lineRule="exact"/>
        <w:jc w:val="center"/>
        <w:textAlignment w:val="auto"/>
        <w:rPr>
          <w:rFonts w:hint="eastAsia" w:ascii="方正小标宋_GBK" w:hAnsi="方正小标宋_GBK" w:eastAsia="方正小标宋_GBK" w:cs="方正小标宋_GBK"/>
          <w:sz w:val="42"/>
          <w:szCs w:val="42"/>
        </w:rPr>
      </w:pPr>
    </w:p>
    <w:p>
      <w:pPr>
        <w:keepNext w:val="0"/>
        <w:keepLines w:val="0"/>
        <w:pageBreakBefore w:val="0"/>
        <w:widowControl w:val="0"/>
        <w:kinsoku/>
        <w:wordWrap/>
        <w:overflowPunct/>
        <w:topLinePunct w:val="0"/>
        <w:bidi w:val="0"/>
        <w:spacing w:line="540" w:lineRule="exact"/>
        <w:jc w:val="center"/>
        <w:textAlignment w:val="auto"/>
        <w:rPr>
          <w:rFonts w:hint="eastAsia" w:ascii="方正小标宋_GBK" w:hAnsi="方正小标宋_GBK" w:eastAsia="方正小标宋_GBK" w:cs="方正小标宋_GBK"/>
          <w:sz w:val="42"/>
          <w:szCs w:val="42"/>
        </w:rPr>
      </w:pPr>
      <w:r>
        <w:rPr>
          <w:rFonts w:hint="eastAsia" w:ascii="方正小标宋_GBK" w:hAnsi="方正小标宋_GBK" w:eastAsia="方正小标宋_GBK" w:cs="方正小标宋_GBK"/>
          <w:sz w:val="42"/>
          <w:szCs w:val="42"/>
        </w:rPr>
        <w:t>《关于完善公立医疗机构医疗服务价格管理机制的通知》的</w:t>
      </w:r>
      <w:r>
        <w:rPr>
          <w:rFonts w:hint="eastAsia" w:ascii="方正小标宋_GBK" w:hAnsi="方正小标宋_GBK" w:eastAsia="方正小标宋_GBK" w:cs="方正小标宋_GBK"/>
          <w:sz w:val="42"/>
          <w:szCs w:val="42"/>
          <w:lang w:eastAsia="zh-CN"/>
        </w:rPr>
        <w:t>起草</w:t>
      </w:r>
      <w:r>
        <w:rPr>
          <w:rFonts w:hint="eastAsia" w:ascii="方正小标宋_GBK" w:hAnsi="方正小标宋_GBK" w:eastAsia="方正小标宋_GBK" w:cs="方正小标宋_GBK"/>
          <w:sz w:val="42"/>
          <w:szCs w:val="42"/>
        </w:rPr>
        <w:t>说明</w:t>
      </w:r>
    </w:p>
    <w:p>
      <w:pPr>
        <w:keepNext w:val="0"/>
        <w:keepLines w:val="0"/>
        <w:pageBreakBefore w:val="0"/>
        <w:widowControl w:val="0"/>
        <w:kinsoku/>
        <w:wordWrap/>
        <w:overflowPunct/>
        <w:topLinePunct w:val="0"/>
        <w:bidi w:val="0"/>
        <w:spacing w:line="540" w:lineRule="exact"/>
        <w:jc w:val="center"/>
        <w:textAlignment w:val="auto"/>
        <w:rPr>
          <w:rFonts w:hint="eastAsia" w:ascii="方正小标宋_GBK" w:hAnsi="方正小标宋_GBK" w:eastAsia="方正小标宋_GBK" w:cs="方正小标宋_GBK"/>
          <w:sz w:val="42"/>
          <w:szCs w:val="42"/>
        </w:rPr>
      </w:pPr>
    </w:p>
    <w:p>
      <w:pPr>
        <w:pStyle w:val="2"/>
        <w:keepNext w:val="0"/>
        <w:keepLines w:val="0"/>
        <w:pageBreakBefore w:val="0"/>
        <w:widowControl w:val="0"/>
        <w:kinsoku/>
        <w:wordWrap/>
        <w:overflowPunct/>
        <w:topLinePunct w:val="0"/>
        <w:bidi w:val="0"/>
        <w:spacing w:line="580" w:lineRule="exact"/>
        <w:ind w:firstLine="600" w:firstLineChars="200"/>
        <w:jc w:val="both"/>
        <w:textAlignment w:val="auto"/>
        <w:rPr>
          <w:rFonts w:hint="default" w:ascii="Times New Roman" w:hAnsi="Times New Roman" w:eastAsia="方正仿宋_GBK" w:cs="Times New Roman"/>
          <w:sz w:val="30"/>
          <w:szCs w:val="30"/>
          <w:highlight w:val="none"/>
        </w:rPr>
      </w:pPr>
      <w:r>
        <w:rPr>
          <w:rFonts w:hint="eastAsia" w:ascii="Times New Roman" w:hAnsi="Times New Roman" w:eastAsia="方正仿宋_GBK" w:cs="Times New Roman"/>
          <w:sz w:val="30"/>
          <w:szCs w:val="30"/>
          <w:u w:val="none"/>
          <w:lang w:eastAsia="zh-CN"/>
        </w:rPr>
        <w:t>为</w:t>
      </w:r>
      <w:r>
        <w:rPr>
          <w:rFonts w:hint="eastAsia" w:ascii="Times New Roman" w:hAnsi="Times New Roman" w:eastAsia="方正仿宋_GBK" w:cs="Times New Roman"/>
          <w:sz w:val="30"/>
          <w:szCs w:val="30"/>
          <w:u w:val="none"/>
          <w:lang w:val="en-US" w:eastAsia="zh-CN"/>
        </w:rPr>
        <w:t>进一步</w:t>
      </w:r>
      <w:r>
        <w:rPr>
          <w:rFonts w:hint="eastAsia" w:ascii="Times New Roman" w:hAnsi="Times New Roman" w:eastAsia="方正仿宋_GBK" w:cs="Times New Roman"/>
          <w:sz w:val="30"/>
          <w:szCs w:val="30"/>
          <w:u w:val="none"/>
          <w:lang w:eastAsia="zh-CN"/>
        </w:rPr>
        <w:t>加强我市定点医疗机构管理，</w:t>
      </w:r>
      <w:r>
        <w:rPr>
          <w:rFonts w:hint="eastAsia" w:ascii="Times New Roman" w:hAnsi="Times New Roman" w:eastAsia="方正仿宋_GBK" w:cs="Times New Roman"/>
          <w:sz w:val="30"/>
          <w:szCs w:val="30"/>
          <w:u w:val="none"/>
          <w:lang w:val="en-US" w:eastAsia="zh-CN"/>
        </w:rPr>
        <w:t>完善</w:t>
      </w:r>
      <w:r>
        <w:rPr>
          <w:rFonts w:hint="default" w:ascii="Times New Roman" w:hAnsi="Times New Roman" w:eastAsia="方正仿宋_GBK" w:cs="Times New Roman"/>
          <w:sz w:val="30"/>
          <w:szCs w:val="30"/>
          <w:lang w:eastAsia="zh-CN"/>
        </w:rPr>
        <w:t>我市公立医疗机构医疗服务</w:t>
      </w:r>
      <w:r>
        <w:rPr>
          <w:rFonts w:hint="eastAsia" w:ascii="Times New Roman" w:hAnsi="Times New Roman" w:eastAsia="方正仿宋_GBK" w:cs="Times New Roman"/>
          <w:sz w:val="30"/>
          <w:szCs w:val="30"/>
          <w:lang w:val="en-US" w:eastAsia="zh-CN"/>
        </w:rPr>
        <w:t>价格管理机制</w:t>
      </w:r>
      <w:r>
        <w:rPr>
          <w:rFonts w:hint="eastAsia" w:ascii="Times New Roman" w:hAnsi="Times New Roman" w:eastAsia="方正仿宋_GBK" w:cs="Times New Roman"/>
          <w:sz w:val="30"/>
          <w:szCs w:val="30"/>
          <w:u w:val="none"/>
          <w:lang w:eastAsia="zh-CN"/>
        </w:rPr>
        <w:t>，根据国家、省</w:t>
      </w:r>
      <w:r>
        <w:rPr>
          <w:rFonts w:hint="default" w:ascii="Times New Roman" w:hAnsi="Times New Roman" w:eastAsia="方正仿宋_GBK" w:cs="Times New Roman"/>
          <w:sz w:val="30"/>
          <w:szCs w:val="30"/>
          <w:u w:val="none"/>
          <w:lang w:eastAsia="zh-CN"/>
        </w:rPr>
        <w:t>有关文件精神</w:t>
      </w:r>
      <w:r>
        <w:rPr>
          <w:rFonts w:hint="default" w:ascii="Times New Roman" w:hAnsi="Times New Roman" w:eastAsia="方正仿宋_GBK" w:cs="Times New Roman"/>
          <w:sz w:val="30"/>
          <w:szCs w:val="30"/>
          <w:highlight w:val="none"/>
          <w:u w:val="none"/>
          <w:lang w:eastAsia="zh-CN"/>
        </w:rPr>
        <w:t>，</w:t>
      </w:r>
      <w:r>
        <w:rPr>
          <w:rFonts w:hint="eastAsia" w:ascii="Times New Roman" w:hAnsi="Times New Roman" w:eastAsia="方正仿宋_GBK" w:cs="Times New Roman"/>
          <w:sz w:val="30"/>
          <w:szCs w:val="30"/>
          <w:highlight w:val="none"/>
          <w:lang w:eastAsia="zh-CN"/>
        </w:rPr>
        <w:t>我局牵头草拟了</w:t>
      </w:r>
      <w:r>
        <w:rPr>
          <w:rFonts w:hint="default" w:ascii="Times New Roman" w:hAnsi="Times New Roman" w:eastAsia="方正仿宋_GBK" w:cs="Times New Roman"/>
          <w:sz w:val="30"/>
          <w:szCs w:val="30"/>
          <w:highlight w:val="none"/>
        </w:rPr>
        <w:t>《</w:t>
      </w:r>
      <w:r>
        <w:rPr>
          <w:rFonts w:hint="default" w:ascii="Times New Roman" w:hAnsi="Times New Roman" w:eastAsia="方正仿宋_GBK"/>
          <w:sz w:val="30"/>
          <w:szCs w:val="30"/>
          <w:highlight w:val="none"/>
        </w:rPr>
        <w:t>关于完善公立医疗机构医疗服务价格管理机制的通知</w:t>
      </w:r>
      <w:r>
        <w:rPr>
          <w:rFonts w:hint="default" w:ascii="Times New Roman" w:hAnsi="Times New Roman" w:eastAsia="方正仿宋_GBK" w:cs="Times New Roman"/>
          <w:sz w:val="30"/>
          <w:szCs w:val="30"/>
          <w:highlight w:val="none"/>
        </w:rPr>
        <w:t>》</w:t>
      </w:r>
      <w:r>
        <w:rPr>
          <w:rFonts w:hint="default" w:ascii="Times New Roman" w:hAnsi="Times New Roman" w:eastAsia="方正仿宋_GBK" w:cs="Times New Roman"/>
          <w:sz w:val="30"/>
          <w:szCs w:val="30"/>
          <w:highlight w:val="none"/>
          <w:lang w:eastAsia="zh-CN"/>
        </w:rPr>
        <w:t>（</w:t>
      </w:r>
      <w:r>
        <w:rPr>
          <w:rFonts w:hint="eastAsia" w:ascii="Times New Roman" w:hAnsi="Times New Roman" w:eastAsia="方正仿宋_GBK" w:cs="Times New Roman"/>
          <w:sz w:val="30"/>
          <w:szCs w:val="30"/>
          <w:highlight w:val="none"/>
          <w:lang w:eastAsia="zh-CN"/>
        </w:rPr>
        <w:t>征求意见稿，</w:t>
      </w:r>
      <w:r>
        <w:rPr>
          <w:rFonts w:hint="default" w:ascii="Times New Roman" w:hAnsi="Times New Roman" w:eastAsia="方正仿宋_GBK" w:cs="Times New Roman"/>
          <w:sz w:val="30"/>
          <w:szCs w:val="30"/>
          <w:highlight w:val="none"/>
          <w:lang w:eastAsia="zh-CN"/>
        </w:rPr>
        <w:t>以下简称《通知》）</w:t>
      </w:r>
      <w:r>
        <w:rPr>
          <w:rFonts w:hint="default" w:ascii="Times New Roman" w:hAnsi="Times New Roman" w:eastAsia="方正仿宋_GBK" w:cs="Times New Roman"/>
          <w:color w:val="auto"/>
          <w:kern w:val="2"/>
          <w:sz w:val="30"/>
          <w:szCs w:val="30"/>
          <w:highlight w:val="none"/>
          <w:lang w:eastAsia="zh-CN"/>
        </w:rPr>
        <w:t>。</w:t>
      </w:r>
      <w:r>
        <w:rPr>
          <w:rFonts w:hint="default" w:ascii="Times New Roman" w:hAnsi="Times New Roman" w:eastAsia="方正仿宋_GBK" w:cs="Times New Roman"/>
          <w:sz w:val="30"/>
          <w:szCs w:val="30"/>
          <w:highlight w:val="none"/>
        </w:rPr>
        <w:t>现</w:t>
      </w:r>
      <w:r>
        <w:rPr>
          <w:rFonts w:hint="default" w:ascii="Times New Roman" w:hAnsi="Times New Roman" w:eastAsia="方正仿宋_GBK" w:cs="Times New Roman"/>
          <w:sz w:val="30"/>
          <w:szCs w:val="30"/>
          <w:highlight w:val="none"/>
          <w:lang w:eastAsia="zh-CN"/>
        </w:rPr>
        <w:t>就</w:t>
      </w:r>
      <w:r>
        <w:rPr>
          <w:rFonts w:hint="default" w:ascii="Times New Roman" w:hAnsi="Times New Roman" w:eastAsia="方正仿宋_GBK" w:cs="Times New Roman"/>
          <w:sz w:val="30"/>
          <w:szCs w:val="30"/>
          <w:highlight w:val="none"/>
        </w:rPr>
        <w:t>有关情况说明如下：</w:t>
      </w:r>
    </w:p>
    <w:p>
      <w:pPr>
        <w:keepNext w:val="0"/>
        <w:keepLines w:val="0"/>
        <w:pageBreakBefore w:val="0"/>
        <w:widowControl w:val="0"/>
        <w:kinsoku/>
        <w:wordWrap/>
        <w:overflowPunct/>
        <w:topLinePunct w:val="0"/>
        <w:bidi w:val="0"/>
        <w:adjustRightInd w:val="0"/>
        <w:snapToGrid w:val="0"/>
        <w:spacing w:line="580" w:lineRule="exact"/>
        <w:ind w:firstLine="600" w:firstLineChars="200"/>
        <w:textAlignment w:val="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一、</w:t>
      </w:r>
      <w:r>
        <w:rPr>
          <w:rFonts w:hint="eastAsia" w:ascii="方正黑体_GBK" w:hAnsi="方正黑体_GBK" w:eastAsia="方正黑体_GBK" w:cs="方正黑体_GBK"/>
          <w:b w:val="0"/>
          <w:bCs w:val="0"/>
          <w:sz w:val="30"/>
          <w:szCs w:val="30"/>
          <w:highlight w:val="none"/>
          <w:lang w:eastAsia="zh-CN"/>
        </w:rPr>
        <w:t>制定</w:t>
      </w:r>
      <w:r>
        <w:rPr>
          <w:rFonts w:hint="eastAsia" w:ascii="方正黑体_GBK" w:hAnsi="方正黑体_GBK" w:eastAsia="方正黑体_GBK" w:cs="方正黑体_GBK"/>
          <w:b w:val="0"/>
          <w:bCs w:val="0"/>
          <w:sz w:val="30"/>
          <w:szCs w:val="30"/>
          <w:highlight w:val="none"/>
        </w:rPr>
        <w:t>背景及必要性</w:t>
      </w:r>
    </w:p>
    <w:p>
      <w:pPr>
        <w:pStyle w:val="8"/>
        <w:keepNext w:val="0"/>
        <w:keepLines w:val="0"/>
        <w:widowControl/>
        <w:suppressLineNumbers w:val="0"/>
        <w:spacing w:before="0" w:beforeAutospacing="0" w:after="0" w:afterAutospacing="0" w:line="580" w:lineRule="exact"/>
        <w:ind w:left="0" w:right="0" w:firstLine="600" w:firstLineChars="200"/>
        <w:rPr>
          <w:rFonts w:hint="default" w:ascii="Times New Roman" w:hAnsi="Times New Roman" w:eastAsia="方正仿宋_GBK" w:cs="Times New Roman"/>
          <w:sz w:val="30"/>
          <w:szCs w:val="30"/>
        </w:rPr>
      </w:pPr>
      <w:r>
        <w:rPr>
          <w:rFonts w:hint="eastAsia" w:ascii="Times New Roman" w:hAnsi="Times New Roman" w:eastAsia="方正仿宋_GBK" w:cs="Times New Roman"/>
          <w:sz w:val="30"/>
          <w:szCs w:val="30"/>
          <w:u w:val="none"/>
          <w:lang w:eastAsia="zh-CN"/>
        </w:rPr>
        <w:t>省医保局下发了《广东省医疗保障局关于完善公立医疗机构医疗服务价格管理机制的通知》（</w:t>
      </w:r>
      <w:r>
        <w:rPr>
          <w:rFonts w:hint="eastAsia" w:ascii="Times New Roman" w:hAnsi="Times New Roman" w:eastAsia="方正仿宋_GBK" w:cs="Times New Roman"/>
          <w:sz w:val="30"/>
          <w:szCs w:val="30"/>
          <w:u w:val="none"/>
          <w:lang w:val="en-US" w:eastAsia="zh-CN"/>
        </w:rPr>
        <w:t>粤</w:t>
      </w:r>
      <w:r>
        <w:rPr>
          <w:rFonts w:hint="eastAsia" w:ascii="Times New Roman" w:hAnsi="Times New Roman" w:eastAsia="方正仿宋_GBK" w:cs="Times New Roman"/>
          <w:sz w:val="30"/>
          <w:szCs w:val="30"/>
          <w:u w:val="none"/>
          <w:lang w:eastAsia="zh-CN"/>
        </w:rPr>
        <w:t>医保</w:t>
      </w:r>
      <w:r>
        <w:rPr>
          <w:rFonts w:hint="eastAsia" w:ascii="Times New Roman" w:hAnsi="Times New Roman" w:eastAsia="方正仿宋_GBK" w:cs="Times New Roman"/>
          <w:sz w:val="30"/>
          <w:szCs w:val="30"/>
          <w:u w:val="none"/>
          <w:lang w:val="en-US" w:eastAsia="zh-CN"/>
        </w:rPr>
        <w:t>规</w:t>
      </w:r>
      <w:r>
        <w:rPr>
          <w:rFonts w:hint="eastAsia" w:ascii="Times New Roman" w:hAnsi="Times New Roman" w:eastAsia="方正仿宋_GBK" w:cs="Times New Roman"/>
          <w:sz w:val="30"/>
          <w:szCs w:val="30"/>
          <w:u w:val="none"/>
          <w:lang w:eastAsia="zh-CN"/>
        </w:rPr>
        <w:t>〔202</w:t>
      </w:r>
      <w:r>
        <w:rPr>
          <w:rFonts w:hint="eastAsia" w:ascii="Times New Roman" w:hAnsi="Times New Roman" w:eastAsia="方正仿宋_GBK" w:cs="Times New Roman"/>
          <w:sz w:val="30"/>
          <w:szCs w:val="30"/>
          <w:u w:val="none"/>
          <w:lang w:val="en-US" w:eastAsia="zh-CN"/>
        </w:rPr>
        <w:t>5</w:t>
      </w:r>
      <w:r>
        <w:rPr>
          <w:rFonts w:hint="eastAsia" w:ascii="Times New Roman" w:hAnsi="Times New Roman" w:eastAsia="方正仿宋_GBK" w:cs="Times New Roman"/>
          <w:sz w:val="30"/>
          <w:szCs w:val="30"/>
          <w:u w:val="none"/>
          <w:lang w:eastAsia="zh-CN"/>
        </w:rPr>
        <w:t>〕</w:t>
      </w:r>
      <w:r>
        <w:rPr>
          <w:rFonts w:hint="eastAsia" w:ascii="Times New Roman" w:hAnsi="Times New Roman" w:eastAsia="方正仿宋_GBK" w:cs="Times New Roman"/>
          <w:sz w:val="30"/>
          <w:szCs w:val="30"/>
          <w:u w:val="none"/>
          <w:lang w:val="en-US" w:eastAsia="zh-CN"/>
        </w:rPr>
        <w:t>5</w:t>
      </w:r>
      <w:r>
        <w:rPr>
          <w:rFonts w:hint="eastAsia" w:ascii="Times New Roman" w:hAnsi="Times New Roman" w:eastAsia="方正仿宋_GBK" w:cs="Times New Roman"/>
          <w:sz w:val="30"/>
          <w:szCs w:val="30"/>
          <w:u w:val="none"/>
          <w:lang w:eastAsia="zh-CN"/>
        </w:rPr>
        <w:t>号），明确要求</w:t>
      </w:r>
      <w:r>
        <w:rPr>
          <w:rFonts w:hint="eastAsia" w:ascii="Times New Roman" w:hAnsi="Times New Roman" w:eastAsia="方正仿宋_GBK"/>
          <w:sz w:val="30"/>
          <w:szCs w:val="30"/>
          <w:lang w:eastAsia="zh-CN"/>
        </w:rPr>
        <w:t>各市可</w:t>
      </w:r>
      <w:r>
        <w:rPr>
          <w:rFonts w:hint="eastAsia" w:ascii="Times New Roman" w:hAnsi="Times New Roman" w:eastAsia="方正仿宋_GBK"/>
          <w:sz w:val="30"/>
          <w:szCs w:val="30"/>
        </w:rPr>
        <w:t>在省规定的最高限价范围内</w:t>
      </w:r>
      <w:r>
        <w:rPr>
          <w:rFonts w:hint="eastAsia" w:ascii="Times New Roman" w:hAnsi="Times New Roman" w:eastAsia="方正仿宋_GBK"/>
          <w:sz w:val="30"/>
          <w:szCs w:val="30"/>
          <w:lang w:eastAsia="zh-CN"/>
        </w:rPr>
        <w:t>，根据</w:t>
      </w:r>
      <w:r>
        <w:rPr>
          <w:rFonts w:hint="eastAsia" w:ascii="Times New Roman" w:hAnsi="Times New Roman" w:eastAsia="方正仿宋_GBK"/>
          <w:sz w:val="30"/>
          <w:szCs w:val="30"/>
          <w:u w:val="none"/>
        </w:rPr>
        <w:t>公立医疗机构的不同等级分档次定价</w:t>
      </w:r>
      <w:r>
        <w:rPr>
          <w:rFonts w:hint="eastAsia" w:ascii="Times New Roman" w:hAnsi="Times New Roman" w:eastAsia="方正仿宋_GBK"/>
          <w:sz w:val="30"/>
          <w:szCs w:val="30"/>
          <w:u w:val="none"/>
          <w:lang w:eastAsia="zh-CN"/>
        </w:rPr>
        <w:t>，</w:t>
      </w:r>
      <w:r>
        <w:rPr>
          <w:rFonts w:hint="eastAsia" w:ascii="Times New Roman" w:hAnsi="Times New Roman" w:eastAsia="方正仿宋_GBK"/>
          <w:sz w:val="30"/>
          <w:szCs w:val="30"/>
        </w:rPr>
        <w:t>制定具体政府指导价。</w:t>
      </w:r>
      <w:r>
        <w:rPr>
          <w:rFonts w:hint="default" w:ascii="Times New Roman" w:hAnsi="Times New Roman" w:eastAsia="方正仿宋_GBK" w:cs="Times New Roman"/>
          <w:sz w:val="30"/>
          <w:szCs w:val="30"/>
          <w:lang w:eastAsia="zh-CN"/>
        </w:rPr>
        <w:t>据</w:t>
      </w:r>
      <w:r>
        <w:rPr>
          <w:rFonts w:hint="eastAsia" w:ascii="Times New Roman" w:hAnsi="Times New Roman" w:eastAsia="方正仿宋_GBK" w:cs="Times New Roman"/>
          <w:sz w:val="30"/>
          <w:szCs w:val="30"/>
          <w:lang w:eastAsia="zh-CN"/>
        </w:rPr>
        <w:t>了解</w:t>
      </w:r>
      <w:r>
        <w:rPr>
          <w:rFonts w:hint="default" w:ascii="Times New Roman" w:hAnsi="Times New Roman" w:eastAsia="方正仿宋_GBK" w:cs="Times New Roman"/>
          <w:sz w:val="30"/>
          <w:szCs w:val="30"/>
          <w:lang w:eastAsia="zh-CN"/>
        </w:rPr>
        <w:t>，全省</w:t>
      </w:r>
      <w:r>
        <w:rPr>
          <w:rFonts w:hint="eastAsia" w:ascii="Times New Roman" w:hAnsi="Times New Roman" w:eastAsia="方正仿宋_GBK" w:cs="Times New Roman"/>
          <w:sz w:val="30"/>
          <w:szCs w:val="30"/>
          <w:lang w:eastAsia="zh-CN"/>
        </w:rPr>
        <w:t>各</w:t>
      </w:r>
      <w:r>
        <w:rPr>
          <w:rFonts w:hint="default" w:ascii="Times New Roman" w:hAnsi="Times New Roman" w:eastAsia="方正仿宋_GBK" w:cs="Times New Roman"/>
          <w:sz w:val="30"/>
          <w:szCs w:val="30"/>
          <w:lang w:val="en-US" w:eastAsia="zh-CN"/>
        </w:rPr>
        <w:t>地市公立医疗机构的</w:t>
      </w:r>
      <w:r>
        <w:rPr>
          <w:rFonts w:hint="eastAsia" w:ascii="Times New Roman" w:hAnsi="Times New Roman" w:eastAsia="方正仿宋_GBK" w:cs="Times New Roman"/>
          <w:sz w:val="30"/>
          <w:szCs w:val="30"/>
          <w:lang w:val="en-US" w:eastAsia="zh-CN"/>
        </w:rPr>
        <w:t>医疗服务价格已按</w:t>
      </w:r>
      <w:r>
        <w:rPr>
          <w:rFonts w:hint="default" w:ascii="Times New Roman" w:hAnsi="Times New Roman" w:eastAsia="方正仿宋_GBK" w:cs="Times New Roman"/>
          <w:sz w:val="30"/>
          <w:szCs w:val="30"/>
          <w:lang w:val="en-US" w:eastAsia="zh-CN"/>
        </w:rPr>
        <w:t>卫</w:t>
      </w:r>
      <w:r>
        <w:rPr>
          <w:rFonts w:hint="eastAsia" w:ascii="Times New Roman" w:hAnsi="Times New Roman" w:eastAsia="方正仿宋_GBK" w:cs="Times New Roman"/>
          <w:sz w:val="30"/>
          <w:szCs w:val="30"/>
          <w:lang w:val="en-US" w:eastAsia="zh-CN"/>
        </w:rPr>
        <w:t>生</w:t>
      </w:r>
      <w:r>
        <w:rPr>
          <w:rFonts w:hint="default" w:ascii="Times New Roman" w:hAnsi="Times New Roman" w:eastAsia="方正仿宋_GBK" w:cs="Times New Roman"/>
          <w:sz w:val="30"/>
          <w:szCs w:val="30"/>
          <w:lang w:val="en-US" w:eastAsia="zh-CN"/>
        </w:rPr>
        <w:t>健</w:t>
      </w:r>
      <w:r>
        <w:rPr>
          <w:rFonts w:hint="eastAsia" w:ascii="Times New Roman" w:hAnsi="Times New Roman" w:eastAsia="方正仿宋_GBK" w:cs="Times New Roman"/>
          <w:sz w:val="30"/>
          <w:szCs w:val="30"/>
          <w:lang w:val="en-US" w:eastAsia="zh-CN"/>
        </w:rPr>
        <w:t>康</w:t>
      </w:r>
      <w:r>
        <w:rPr>
          <w:rFonts w:hint="default" w:ascii="Times New Roman" w:hAnsi="Times New Roman" w:eastAsia="方正仿宋_GBK" w:cs="Times New Roman"/>
          <w:sz w:val="30"/>
          <w:szCs w:val="30"/>
          <w:lang w:val="en-US" w:eastAsia="zh-CN"/>
        </w:rPr>
        <w:t>部门</w:t>
      </w:r>
      <w:r>
        <w:rPr>
          <w:rFonts w:hint="eastAsia" w:ascii="Times New Roman" w:hAnsi="Times New Roman" w:eastAsia="方正仿宋_GBK" w:cs="Times New Roman"/>
          <w:sz w:val="30"/>
          <w:szCs w:val="30"/>
          <w:lang w:val="en-US" w:eastAsia="zh-CN"/>
        </w:rPr>
        <w:t>审批级别进行分档次定价。</w:t>
      </w:r>
      <w:r>
        <w:rPr>
          <w:rFonts w:hint="default" w:ascii="Times New Roman" w:hAnsi="Times New Roman" w:eastAsia="方正仿宋_GBK" w:cs="Times New Roman"/>
          <w:sz w:val="30"/>
          <w:szCs w:val="30"/>
        </w:rPr>
        <w:t>为改变我市公立医疗机构</w:t>
      </w:r>
      <w:r>
        <w:rPr>
          <w:rFonts w:hint="default" w:ascii="Times New Roman" w:hAnsi="Times New Roman" w:eastAsia="方正仿宋_GBK" w:cs="Times New Roman"/>
          <w:sz w:val="30"/>
          <w:szCs w:val="30"/>
          <w:lang w:eastAsia="zh-CN"/>
        </w:rPr>
        <w:t>现</w:t>
      </w:r>
      <w:r>
        <w:rPr>
          <w:rFonts w:hint="eastAsia" w:ascii="Times New Roman" w:hAnsi="Times New Roman" w:eastAsia="方正仿宋_GBK" w:cs="Times New Roman"/>
          <w:sz w:val="30"/>
          <w:szCs w:val="30"/>
          <w:lang w:eastAsia="zh-CN"/>
        </w:rPr>
        <w:t>行</w:t>
      </w:r>
      <w:r>
        <w:rPr>
          <w:rFonts w:hint="default" w:ascii="Times New Roman" w:hAnsi="Times New Roman" w:eastAsia="方正仿宋_GBK" w:cs="Times New Roman"/>
          <w:sz w:val="30"/>
          <w:szCs w:val="30"/>
          <w:lang w:eastAsia="zh-CN"/>
        </w:rPr>
        <w:t>四</w:t>
      </w:r>
      <w:r>
        <w:rPr>
          <w:rFonts w:hint="default" w:ascii="Times New Roman" w:hAnsi="Times New Roman" w:eastAsia="方正仿宋_GBK" w:cs="Times New Roman"/>
          <w:sz w:val="30"/>
          <w:szCs w:val="30"/>
        </w:rPr>
        <w:t>个医疗服务项目价区的现状，</w:t>
      </w:r>
      <w:r>
        <w:rPr>
          <w:rFonts w:hint="default" w:ascii="Times New Roman" w:hAnsi="Times New Roman" w:eastAsia="方正仿宋_GBK" w:cs="Times New Roman"/>
          <w:sz w:val="30"/>
          <w:szCs w:val="30"/>
          <w:lang w:val="en-US" w:eastAsia="zh-CN"/>
        </w:rPr>
        <w:t>完善</w:t>
      </w:r>
      <w:r>
        <w:rPr>
          <w:rFonts w:hint="default" w:ascii="Times New Roman" w:hAnsi="Times New Roman" w:eastAsia="方正仿宋_GBK"/>
          <w:sz w:val="30"/>
          <w:szCs w:val="30"/>
        </w:rPr>
        <w:t>我市公立医疗机构医疗服务价格管理</w:t>
      </w:r>
      <w:r>
        <w:rPr>
          <w:rFonts w:hint="eastAsia" w:ascii="Times New Roman" w:hAnsi="Times New Roman" w:eastAsia="方正仿宋_GBK"/>
          <w:sz w:val="30"/>
          <w:szCs w:val="30"/>
          <w:lang w:eastAsia="zh-CN"/>
        </w:rPr>
        <w:t>机制</w:t>
      </w:r>
      <w:r>
        <w:rPr>
          <w:rFonts w:hint="default" w:ascii="Times New Roman" w:hAnsi="Times New Roman" w:eastAsia="方正仿宋_GBK" w:cs="Times New Roman"/>
          <w:sz w:val="30"/>
          <w:szCs w:val="30"/>
          <w:lang w:eastAsia="zh-CN"/>
        </w:rPr>
        <w:t>，</w:t>
      </w:r>
      <w:r>
        <w:rPr>
          <w:rFonts w:hint="eastAsia" w:ascii="Times New Roman" w:hAnsi="Times New Roman" w:eastAsia="方正仿宋_GBK" w:cs="Times New Roman"/>
          <w:sz w:val="30"/>
          <w:szCs w:val="30"/>
          <w:lang w:eastAsia="zh-CN"/>
        </w:rPr>
        <w:t>和省内各地市做法保持一致，</w:t>
      </w:r>
      <w:r>
        <w:rPr>
          <w:rFonts w:hint="default" w:ascii="Times New Roman" w:hAnsi="Times New Roman" w:eastAsia="方正仿宋_GBK" w:cs="Times New Roman"/>
          <w:sz w:val="30"/>
          <w:szCs w:val="30"/>
        </w:rPr>
        <w:t>体现患者付费公平性原则，</w:t>
      </w:r>
      <w:r>
        <w:rPr>
          <w:rFonts w:hint="default" w:ascii="Times New Roman" w:hAnsi="Times New Roman" w:eastAsia="方正仿宋_GBK" w:cs="Times New Roman"/>
          <w:sz w:val="30"/>
          <w:szCs w:val="30"/>
          <w:lang w:eastAsia="zh-CN"/>
        </w:rPr>
        <w:t>进一步保障基金安全</w:t>
      </w:r>
      <w:r>
        <w:rPr>
          <w:rFonts w:hint="eastAsia" w:ascii="Times New Roman" w:hAnsi="Times New Roman" w:eastAsia="方正仿宋_GBK" w:cs="Times New Roman"/>
          <w:sz w:val="30"/>
          <w:szCs w:val="30"/>
          <w:lang w:eastAsia="zh-CN"/>
        </w:rPr>
        <w:t>规范运行</w:t>
      </w:r>
      <w:r>
        <w:rPr>
          <w:rFonts w:hint="default" w:ascii="Times New Roman" w:hAnsi="Times New Roman" w:eastAsia="方正仿宋_GBK" w:cs="Times New Roman"/>
          <w:sz w:val="30"/>
          <w:szCs w:val="30"/>
          <w:lang w:eastAsia="zh-CN"/>
        </w:rPr>
        <w:t>，</w:t>
      </w:r>
      <w:r>
        <w:rPr>
          <w:rFonts w:hint="eastAsia" w:ascii="Times New Roman" w:hAnsi="Times New Roman" w:eastAsia="方正仿宋_GBK" w:cs="Times New Roman"/>
          <w:sz w:val="30"/>
          <w:szCs w:val="30"/>
          <w:lang w:eastAsia="zh-CN"/>
        </w:rPr>
        <w:t>拟明确</w:t>
      </w:r>
      <w:r>
        <w:rPr>
          <w:rFonts w:hint="default" w:ascii="Times New Roman" w:hAnsi="Times New Roman" w:eastAsia="方正仿宋_GBK"/>
          <w:sz w:val="30"/>
          <w:szCs w:val="30"/>
        </w:rPr>
        <w:t>全市公立医疗机构基本医疗服务项目，根据公立医疗机构级别分档次定价</w:t>
      </w:r>
      <w:r>
        <w:rPr>
          <w:rFonts w:hint="eastAsia" w:ascii="Times New Roman" w:hAnsi="Times New Roman" w:eastAsia="方正仿宋_GBK"/>
          <w:sz w:val="30"/>
          <w:szCs w:val="30"/>
          <w:lang w:eastAsia="zh-CN"/>
        </w:rPr>
        <w:t>。</w:t>
      </w:r>
    </w:p>
    <w:p>
      <w:pPr>
        <w:keepNext w:val="0"/>
        <w:keepLines w:val="0"/>
        <w:pageBreakBefore w:val="0"/>
        <w:widowControl/>
        <w:kinsoku/>
        <w:wordWrap/>
        <w:overflowPunct/>
        <w:topLinePunct w:val="0"/>
        <w:bidi w:val="0"/>
        <w:adjustRightInd/>
        <w:snapToGrid w:val="0"/>
        <w:spacing w:line="580" w:lineRule="exact"/>
        <w:ind w:firstLine="600" w:firstLineChars="200"/>
        <w:textAlignment w:val="auto"/>
        <w:rPr>
          <w:rFonts w:hint="eastAsia" w:ascii="方正黑体_GBK" w:hAnsi="方正黑体_GBK" w:eastAsia="方正黑体_GBK" w:cs="方正黑体_GBK"/>
          <w:b w:val="0"/>
          <w:bCs w:val="0"/>
          <w:sz w:val="30"/>
          <w:szCs w:val="30"/>
          <w:highlight w:val="none"/>
        </w:rPr>
      </w:pPr>
      <w:r>
        <w:rPr>
          <w:rFonts w:hint="eastAsia" w:ascii="方正黑体_GBK" w:hAnsi="方正黑体_GBK" w:eastAsia="方正黑体_GBK" w:cs="方正黑体_GBK"/>
          <w:b w:val="0"/>
          <w:bCs w:val="0"/>
          <w:sz w:val="30"/>
          <w:szCs w:val="30"/>
          <w:highlight w:val="none"/>
        </w:rPr>
        <w:t>二、</w:t>
      </w:r>
      <w:r>
        <w:rPr>
          <w:rFonts w:hint="eastAsia" w:ascii="方正黑体_GBK" w:hAnsi="方正黑体_GBK" w:eastAsia="方正黑体_GBK" w:cs="方正黑体_GBK"/>
          <w:b w:val="0"/>
          <w:bCs w:val="0"/>
          <w:sz w:val="30"/>
          <w:szCs w:val="30"/>
          <w:highlight w:val="none"/>
          <w:lang w:eastAsia="zh-CN"/>
        </w:rPr>
        <w:t>制定</w:t>
      </w:r>
      <w:r>
        <w:rPr>
          <w:rFonts w:hint="eastAsia" w:ascii="方正黑体_GBK" w:hAnsi="方正黑体_GBK" w:eastAsia="方正黑体_GBK" w:cs="方正黑体_GBK"/>
          <w:b w:val="0"/>
          <w:bCs w:val="0"/>
          <w:sz w:val="30"/>
          <w:szCs w:val="30"/>
          <w:highlight w:val="none"/>
        </w:rPr>
        <w:t>文件依据</w:t>
      </w:r>
    </w:p>
    <w:p>
      <w:pPr>
        <w:keepNext w:val="0"/>
        <w:keepLines w:val="0"/>
        <w:pageBreakBefore w:val="0"/>
        <w:widowControl/>
        <w:kinsoku/>
        <w:wordWrap/>
        <w:overflowPunct/>
        <w:topLinePunct w:val="0"/>
        <w:bidi w:val="0"/>
        <w:adjustRightInd/>
        <w:snapToGrid w:val="0"/>
        <w:spacing w:line="580" w:lineRule="exact"/>
        <w:ind w:firstLine="600" w:firstLineChars="200"/>
        <w:textAlignment w:val="auto"/>
        <w:rPr>
          <w:rFonts w:hint="default" w:ascii="Times New Roman" w:hAnsi="Times New Roman" w:eastAsia="方正仿宋_GBK" w:cs="Times New Roman"/>
          <w:sz w:val="30"/>
          <w:szCs w:val="30"/>
          <w:u w:val="none"/>
          <w:lang w:eastAsia="zh-CN"/>
        </w:rPr>
      </w:pPr>
      <w:r>
        <w:rPr>
          <w:rFonts w:hint="eastAsia" w:ascii="Times New Roman" w:hAnsi="Times New Roman" w:eastAsia="方正仿宋_GBK" w:cs="Times New Roman"/>
          <w:b w:val="0"/>
          <w:bCs w:val="0"/>
          <w:sz w:val="30"/>
          <w:szCs w:val="30"/>
          <w:highlight w:val="none"/>
          <w:lang w:val="en-US" w:eastAsia="zh-CN"/>
        </w:rPr>
        <w:t>（一）</w:t>
      </w:r>
      <w:r>
        <w:rPr>
          <w:rFonts w:hint="default" w:ascii="Times New Roman" w:hAnsi="Times New Roman" w:eastAsia="方正仿宋_GBK" w:cs="Times New Roman"/>
          <w:sz w:val="30"/>
          <w:szCs w:val="30"/>
          <w:u w:val="none"/>
          <w:lang w:eastAsia="zh-CN"/>
        </w:rPr>
        <w:t>《广东省医疗保障局关于完善公立医疗机构医疗服务价格管理机制的通知》（</w:t>
      </w:r>
      <w:r>
        <w:rPr>
          <w:rFonts w:hint="eastAsia" w:ascii="Times New Roman" w:hAnsi="Times New Roman" w:eastAsia="方正仿宋_GBK" w:cs="Times New Roman"/>
          <w:sz w:val="30"/>
          <w:szCs w:val="30"/>
          <w:u w:val="none"/>
          <w:lang w:val="en-US" w:eastAsia="zh-CN"/>
        </w:rPr>
        <w:t>粤</w:t>
      </w:r>
      <w:r>
        <w:rPr>
          <w:rFonts w:hint="default" w:ascii="Times New Roman" w:hAnsi="Times New Roman" w:eastAsia="方正仿宋_GBK" w:cs="Times New Roman"/>
          <w:sz w:val="30"/>
          <w:szCs w:val="30"/>
          <w:u w:val="none"/>
          <w:lang w:eastAsia="zh-CN"/>
        </w:rPr>
        <w:t>医保</w:t>
      </w:r>
      <w:r>
        <w:rPr>
          <w:rFonts w:hint="eastAsia" w:ascii="Times New Roman" w:hAnsi="Times New Roman" w:eastAsia="方正仿宋_GBK" w:cs="Times New Roman"/>
          <w:sz w:val="30"/>
          <w:szCs w:val="30"/>
          <w:u w:val="none"/>
          <w:lang w:val="en-US" w:eastAsia="zh-CN"/>
        </w:rPr>
        <w:t>规</w:t>
      </w:r>
      <w:r>
        <w:rPr>
          <w:rFonts w:hint="default" w:ascii="Times New Roman" w:hAnsi="Times New Roman" w:eastAsia="方正仿宋_GBK" w:cs="Times New Roman"/>
          <w:sz w:val="30"/>
          <w:szCs w:val="30"/>
          <w:u w:val="none"/>
          <w:lang w:eastAsia="zh-CN"/>
        </w:rPr>
        <w:t>〔202</w:t>
      </w:r>
      <w:r>
        <w:rPr>
          <w:rFonts w:hint="eastAsia" w:ascii="Times New Roman" w:hAnsi="Times New Roman" w:eastAsia="方正仿宋_GBK" w:cs="Times New Roman"/>
          <w:sz w:val="30"/>
          <w:szCs w:val="30"/>
          <w:u w:val="none"/>
          <w:lang w:val="en-US" w:eastAsia="zh-CN"/>
        </w:rPr>
        <w:t>5</w:t>
      </w:r>
      <w:r>
        <w:rPr>
          <w:rFonts w:hint="default" w:ascii="Times New Roman" w:hAnsi="Times New Roman" w:eastAsia="方正仿宋_GBK" w:cs="Times New Roman"/>
          <w:sz w:val="30"/>
          <w:szCs w:val="30"/>
          <w:u w:val="none"/>
          <w:lang w:eastAsia="zh-CN"/>
        </w:rPr>
        <w:t>〕</w:t>
      </w:r>
      <w:r>
        <w:rPr>
          <w:rFonts w:hint="eastAsia" w:ascii="Times New Roman" w:hAnsi="Times New Roman" w:eastAsia="方正仿宋_GBK" w:cs="Times New Roman"/>
          <w:sz w:val="30"/>
          <w:szCs w:val="30"/>
          <w:u w:val="none"/>
          <w:lang w:val="en-US" w:eastAsia="zh-CN"/>
        </w:rPr>
        <w:t>5</w:t>
      </w:r>
      <w:r>
        <w:rPr>
          <w:rFonts w:hint="default" w:ascii="Times New Roman" w:hAnsi="Times New Roman" w:eastAsia="方正仿宋_GBK" w:cs="Times New Roman"/>
          <w:sz w:val="30"/>
          <w:szCs w:val="30"/>
          <w:u w:val="none"/>
          <w:lang w:eastAsia="zh-CN"/>
        </w:rPr>
        <w:t>号）</w:t>
      </w:r>
    </w:p>
    <w:p>
      <w:pPr>
        <w:pStyle w:val="2"/>
        <w:spacing w:line="580" w:lineRule="exact"/>
        <w:ind w:firstLine="600"/>
        <w:rPr>
          <w:rFonts w:hint="default" w:ascii="Times New Roman" w:hAnsi="Times New Roman" w:eastAsia="方正仿宋_GBK" w:cs="Times New Roman"/>
          <w:sz w:val="30"/>
          <w:szCs w:val="30"/>
          <w:u w:val="none"/>
          <w:lang w:val="en-US" w:eastAsia="zh-CN"/>
        </w:rPr>
      </w:pPr>
      <w:r>
        <w:rPr>
          <w:rFonts w:hint="eastAsia" w:ascii="Times New Roman" w:hAnsi="Times New Roman" w:eastAsia="方正仿宋_GBK" w:cs="Times New Roman"/>
          <w:sz w:val="30"/>
          <w:szCs w:val="30"/>
          <w:u w:val="none"/>
          <w:lang w:val="en-US" w:eastAsia="zh-CN"/>
        </w:rPr>
        <w:t>（二）《</w:t>
      </w:r>
      <w:r>
        <w:rPr>
          <w:rFonts w:hint="eastAsia" w:ascii="Times New Roman" w:hAnsi="Times New Roman" w:eastAsia="方正仿宋_GBK"/>
          <w:sz w:val="30"/>
          <w:szCs w:val="30"/>
        </w:rPr>
        <w:t>关于调整江门市非营利性医疗机构医疗服务价格的通知</w:t>
      </w:r>
      <w:r>
        <w:rPr>
          <w:rFonts w:hint="eastAsia" w:ascii="Times New Roman" w:hAnsi="Times New Roman" w:eastAsia="方正仿宋_GBK" w:cs="Times New Roman"/>
          <w:sz w:val="30"/>
          <w:szCs w:val="30"/>
          <w:u w:val="none"/>
          <w:lang w:val="en-US" w:eastAsia="zh-CN"/>
        </w:rPr>
        <w:t>》（江价</w:t>
      </w:r>
      <w:r>
        <w:rPr>
          <w:rFonts w:hint="default" w:ascii="Times New Roman" w:hAnsi="Times New Roman" w:eastAsia="方正仿宋_GBK" w:cs="Times New Roman"/>
          <w:sz w:val="30"/>
          <w:szCs w:val="30"/>
          <w:lang w:eastAsia="zh-CN"/>
        </w:rPr>
        <w:t>〔20</w:t>
      </w:r>
      <w:r>
        <w:rPr>
          <w:rFonts w:hint="eastAsia" w:ascii="Times New Roman" w:hAnsi="Times New Roman" w:eastAsia="方正仿宋_GBK" w:cs="Times New Roman"/>
          <w:sz w:val="30"/>
          <w:szCs w:val="30"/>
          <w:lang w:val="en-US" w:eastAsia="zh-CN"/>
        </w:rPr>
        <w:t>08</w:t>
      </w:r>
      <w:r>
        <w:rPr>
          <w:rFonts w:hint="default" w:ascii="Times New Roman" w:hAnsi="Times New Roman" w:eastAsia="方正仿宋_GBK" w:cs="Times New Roman"/>
          <w:sz w:val="30"/>
          <w:szCs w:val="30"/>
          <w:lang w:eastAsia="zh-CN"/>
        </w:rPr>
        <w:t>〕</w:t>
      </w:r>
      <w:r>
        <w:rPr>
          <w:rFonts w:hint="eastAsia" w:ascii="Times New Roman" w:hAnsi="Times New Roman" w:eastAsia="方正仿宋_GBK" w:cs="Times New Roman"/>
          <w:sz w:val="30"/>
          <w:szCs w:val="30"/>
          <w:lang w:val="en-US" w:eastAsia="zh-CN"/>
        </w:rPr>
        <w:t>246</w:t>
      </w:r>
      <w:r>
        <w:rPr>
          <w:rFonts w:hint="default" w:ascii="Times New Roman" w:hAnsi="Times New Roman" w:eastAsia="方正仿宋_GBK" w:cs="Times New Roman"/>
          <w:sz w:val="30"/>
          <w:szCs w:val="30"/>
          <w:lang w:eastAsia="zh-CN"/>
        </w:rPr>
        <w:t>号</w:t>
      </w:r>
      <w:r>
        <w:rPr>
          <w:rFonts w:hint="eastAsia" w:ascii="Times New Roman" w:hAnsi="Times New Roman" w:eastAsia="方正仿宋_GBK" w:cs="Times New Roman"/>
          <w:sz w:val="30"/>
          <w:szCs w:val="30"/>
          <w:u w:val="none"/>
          <w:lang w:val="en-US" w:eastAsia="zh-CN"/>
        </w:rPr>
        <w:t>）</w:t>
      </w:r>
    </w:p>
    <w:p>
      <w:pPr>
        <w:keepNext w:val="0"/>
        <w:keepLines w:val="0"/>
        <w:pageBreakBefore w:val="0"/>
        <w:widowControl w:val="0"/>
        <w:kinsoku/>
        <w:wordWrap/>
        <w:overflowPunct/>
        <w:topLinePunct w:val="0"/>
        <w:bidi w:val="0"/>
        <w:adjustRightInd w:val="0"/>
        <w:snapToGrid w:val="0"/>
        <w:spacing w:line="580" w:lineRule="exact"/>
        <w:ind w:firstLine="600" w:firstLineChars="200"/>
        <w:textAlignment w:val="auto"/>
        <w:rPr>
          <w:rFonts w:hint="eastAsia" w:ascii="方正黑体_GBK" w:hAnsi="方正黑体_GBK" w:eastAsia="方正黑体_GBK" w:cs="方正黑体_GBK"/>
          <w:b w:val="0"/>
          <w:bCs w:val="0"/>
          <w:sz w:val="30"/>
          <w:szCs w:val="30"/>
          <w:highlight w:val="none"/>
          <w:lang w:eastAsia="zh-CN"/>
        </w:rPr>
      </w:pPr>
      <w:r>
        <w:rPr>
          <w:rFonts w:hint="eastAsia" w:ascii="方正黑体_GBK" w:hAnsi="方正黑体_GBK" w:eastAsia="方正黑体_GBK" w:cs="方正黑体_GBK"/>
          <w:b w:val="0"/>
          <w:bCs w:val="0"/>
          <w:sz w:val="30"/>
          <w:szCs w:val="30"/>
          <w:highlight w:val="none"/>
        </w:rPr>
        <w:t>三、</w:t>
      </w:r>
      <w:r>
        <w:rPr>
          <w:rFonts w:hint="eastAsia" w:ascii="方正黑体_GBK" w:hAnsi="方正黑体_GBK" w:eastAsia="方正黑体_GBK" w:cs="方正黑体_GBK"/>
          <w:b w:val="0"/>
          <w:bCs w:val="0"/>
          <w:sz w:val="30"/>
          <w:szCs w:val="30"/>
          <w:highlight w:val="none"/>
          <w:lang w:eastAsia="zh-CN"/>
        </w:rPr>
        <w:t>实施</w:t>
      </w:r>
      <w:r>
        <w:rPr>
          <w:rFonts w:hint="eastAsia" w:ascii="方正黑体_GBK" w:hAnsi="方正黑体_GBK" w:eastAsia="方正黑体_GBK" w:cs="方正黑体_GBK"/>
          <w:b w:val="0"/>
          <w:bCs w:val="0"/>
          <w:sz w:val="30"/>
          <w:szCs w:val="30"/>
          <w:highlight w:val="none"/>
        </w:rPr>
        <w:t>范围</w:t>
      </w:r>
      <w:r>
        <w:rPr>
          <w:rFonts w:hint="eastAsia" w:ascii="方正黑体_GBK" w:hAnsi="方正黑体_GBK" w:eastAsia="方正黑体_GBK" w:cs="方正黑体_GBK"/>
          <w:b w:val="0"/>
          <w:bCs w:val="0"/>
          <w:sz w:val="30"/>
          <w:szCs w:val="30"/>
          <w:highlight w:val="none"/>
          <w:lang w:eastAsia="zh-CN"/>
        </w:rPr>
        <w:t>和内容说明</w:t>
      </w:r>
    </w:p>
    <w:p>
      <w:pPr>
        <w:keepNext w:val="0"/>
        <w:keepLines w:val="0"/>
        <w:pageBreakBefore w:val="0"/>
        <w:widowControl w:val="0"/>
        <w:kinsoku/>
        <w:wordWrap/>
        <w:overflowPunct/>
        <w:topLinePunct w:val="0"/>
        <w:bidi w:val="0"/>
        <w:adjustRightInd w:val="0"/>
        <w:snapToGrid w:val="0"/>
        <w:spacing w:line="580" w:lineRule="exact"/>
        <w:ind w:firstLine="600" w:firstLineChars="200"/>
        <w:textAlignment w:val="auto"/>
        <w:rPr>
          <w:rFonts w:hint="default" w:ascii="Times New Roman" w:hAnsi="Times New Roman" w:eastAsia="方正仿宋_GBK"/>
          <w:sz w:val="30"/>
          <w:szCs w:val="30"/>
          <w:highlight w:val="none"/>
        </w:rPr>
      </w:pPr>
      <w:r>
        <w:rPr>
          <w:rFonts w:hint="eastAsia" w:ascii="方正楷体_GBK" w:hAnsi="方正楷体_GBK" w:eastAsia="方正楷体_GBK" w:cs="方正楷体_GBK"/>
          <w:sz w:val="30"/>
          <w:szCs w:val="30"/>
          <w:highlight w:val="none"/>
          <w:lang w:eastAsia="zh-CN"/>
        </w:rPr>
        <w:t>（一）实施范围</w:t>
      </w:r>
      <w:r>
        <w:rPr>
          <w:rFonts w:hint="eastAsia" w:ascii="方正楷体_GBK" w:hAnsi="方正楷体_GBK" w:eastAsia="方正楷体_GBK" w:cs="方正楷体_GBK"/>
          <w:sz w:val="30"/>
          <w:szCs w:val="30"/>
          <w:highlight w:val="none"/>
          <w:lang w:val="en-US" w:eastAsia="zh-CN"/>
        </w:rPr>
        <w:t>。</w:t>
      </w:r>
      <w:r>
        <w:rPr>
          <w:rFonts w:hint="eastAsia" w:ascii="Times New Roman" w:hAnsi="Times New Roman" w:eastAsia="方正仿宋_GBK" w:cs="Times New Roman"/>
          <w:sz w:val="30"/>
          <w:szCs w:val="30"/>
          <w:highlight w:val="none"/>
          <w:lang w:eastAsia="zh-CN"/>
        </w:rPr>
        <w:t>实施范围为</w:t>
      </w:r>
      <w:r>
        <w:rPr>
          <w:rFonts w:hint="default" w:ascii="Times New Roman" w:hAnsi="Times New Roman" w:eastAsia="方正仿宋_GBK"/>
          <w:sz w:val="30"/>
          <w:szCs w:val="30"/>
          <w:highlight w:val="none"/>
        </w:rPr>
        <w:t>全市公立医疗机构</w:t>
      </w:r>
      <w:r>
        <w:rPr>
          <w:rFonts w:hint="eastAsia" w:ascii="Times New Roman" w:hAnsi="Times New Roman" w:eastAsia="方正仿宋_GBK"/>
          <w:sz w:val="30"/>
          <w:szCs w:val="30"/>
          <w:highlight w:val="none"/>
          <w:lang w:eastAsia="zh-CN"/>
        </w:rPr>
        <w:t>，</w:t>
      </w:r>
      <w:r>
        <w:rPr>
          <w:rFonts w:hint="default" w:ascii="Times New Roman" w:hAnsi="Times New Roman" w:eastAsia="方正仿宋_GBK"/>
          <w:sz w:val="30"/>
          <w:szCs w:val="30"/>
          <w:highlight w:val="none"/>
        </w:rPr>
        <w:t>非公立医疗机构按定点协议有关约定执行。</w:t>
      </w:r>
    </w:p>
    <w:p>
      <w:pPr>
        <w:pStyle w:val="8"/>
        <w:widowControl/>
        <w:adjustRightInd/>
        <w:snapToGrid/>
        <w:spacing w:before="0" w:beforeAutospacing="0" w:after="0" w:afterAutospacing="0" w:line="580" w:lineRule="exact"/>
        <w:ind w:firstLine="600" w:firstLineChars="200"/>
        <w:jc w:val="both"/>
        <w:rPr>
          <w:rFonts w:hint="eastAsia" w:ascii="Times New Roman" w:hAnsi="Times New Roman" w:eastAsia="方正仿宋_GBK"/>
          <w:sz w:val="30"/>
          <w:szCs w:val="30"/>
          <w:lang w:eastAsia="zh-CN"/>
        </w:rPr>
      </w:pPr>
      <w:r>
        <w:rPr>
          <w:rFonts w:hint="eastAsia" w:ascii="方正楷体_GBK" w:hAnsi="方正楷体_GBK" w:eastAsia="方正楷体_GBK" w:cs="方正楷体_GBK"/>
          <w:sz w:val="30"/>
          <w:szCs w:val="30"/>
          <w:highlight w:val="none"/>
          <w:lang w:eastAsia="zh-CN"/>
        </w:rPr>
        <w:t>（二）</w:t>
      </w:r>
      <w:r>
        <w:rPr>
          <w:rFonts w:hint="eastAsia" w:ascii="方正楷体_GBK" w:hAnsi="方正楷体_GBK" w:eastAsia="方正楷体_GBK" w:cs="方正楷体_GBK"/>
          <w:sz w:val="30"/>
          <w:szCs w:val="30"/>
        </w:rPr>
        <w:t>分档次定价</w:t>
      </w:r>
      <w:r>
        <w:rPr>
          <w:rFonts w:hint="eastAsia" w:ascii="方正楷体_GBK" w:hAnsi="方正楷体_GBK" w:eastAsia="方正楷体_GBK" w:cs="方正楷体_GBK"/>
          <w:sz w:val="30"/>
          <w:szCs w:val="30"/>
          <w:lang w:eastAsia="zh-CN"/>
        </w:rPr>
        <w:t>总体</w:t>
      </w:r>
      <w:r>
        <w:rPr>
          <w:rFonts w:hint="eastAsia" w:ascii="方正楷体_GBK" w:hAnsi="方正楷体_GBK" w:eastAsia="方正楷体_GBK" w:cs="方正楷体_GBK"/>
          <w:sz w:val="30"/>
          <w:szCs w:val="30"/>
        </w:rPr>
        <w:t>原则。</w:t>
      </w:r>
      <w:r>
        <w:rPr>
          <w:rFonts w:hint="eastAsia" w:ascii="Times New Roman" w:hAnsi="Times New Roman" w:eastAsia="方正仿宋_GBK"/>
          <w:sz w:val="30"/>
          <w:szCs w:val="30"/>
        </w:rPr>
        <w:t>公立医疗机构基本医疗服务项目，</w:t>
      </w:r>
      <w:r>
        <w:rPr>
          <w:rFonts w:hint="eastAsia" w:ascii="Times New Roman" w:hAnsi="Times New Roman" w:eastAsia="方正仿宋_GBK"/>
          <w:sz w:val="30"/>
          <w:szCs w:val="30"/>
          <w:lang w:eastAsia="zh-CN"/>
        </w:rPr>
        <w:t>明确</w:t>
      </w:r>
      <w:r>
        <w:rPr>
          <w:rFonts w:hint="eastAsia" w:ascii="Times New Roman" w:hAnsi="Times New Roman" w:eastAsia="方正仿宋_GBK"/>
          <w:sz w:val="30"/>
          <w:szCs w:val="30"/>
        </w:rPr>
        <w:t>根据公立医疗机构级别分档次定价</w:t>
      </w:r>
      <w:r>
        <w:rPr>
          <w:rFonts w:hint="eastAsia" w:ascii="Times New Roman" w:hAnsi="Times New Roman" w:eastAsia="方正仿宋_GBK"/>
          <w:sz w:val="30"/>
          <w:szCs w:val="30"/>
          <w:lang w:eastAsia="zh-CN"/>
        </w:rPr>
        <w:t>，</w:t>
      </w:r>
      <w:r>
        <w:rPr>
          <w:rFonts w:hint="eastAsia" w:ascii="Times New Roman" w:hAnsi="Times New Roman" w:eastAsia="方正仿宋_GBK"/>
          <w:sz w:val="30"/>
          <w:szCs w:val="30"/>
        </w:rPr>
        <w:t>公立医疗机构级别</w:t>
      </w:r>
      <w:r>
        <w:rPr>
          <w:rFonts w:hint="eastAsia" w:ascii="Times New Roman" w:hAnsi="Times New Roman" w:eastAsia="方正仿宋_GBK"/>
          <w:sz w:val="30"/>
          <w:szCs w:val="30"/>
          <w:lang w:eastAsia="zh-CN"/>
        </w:rPr>
        <w:t>统一以各级卫生健康部门审批的医疗机构执业许可证登记的级别信息为准。</w:t>
      </w:r>
      <w:r>
        <w:rPr>
          <w:rFonts w:hint="eastAsia" w:ascii="Times New Roman" w:hAnsi="Times New Roman" w:eastAsia="方正仿宋_GBK"/>
          <w:sz w:val="30"/>
          <w:szCs w:val="30"/>
        </w:rPr>
        <w:t>对于新制定价格</w:t>
      </w:r>
      <w:r>
        <w:rPr>
          <w:rFonts w:hint="eastAsia" w:ascii="Times New Roman" w:hAnsi="Times New Roman" w:eastAsia="方正仿宋_GBK"/>
          <w:sz w:val="30"/>
          <w:szCs w:val="30"/>
          <w:lang w:eastAsia="zh-CN"/>
        </w:rPr>
        <w:t>并设置价差</w:t>
      </w:r>
      <w:r>
        <w:rPr>
          <w:rFonts w:hint="eastAsia" w:ascii="Times New Roman" w:hAnsi="Times New Roman" w:eastAsia="方正仿宋_GBK"/>
          <w:sz w:val="30"/>
          <w:szCs w:val="30"/>
        </w:rPr>
        <w:t>的基本医疗服务项目</w:t>
      </w:r>
      <w:r>
        <w:rPr>
          <w:rFonts w:hint="eastAsia" w:ascii="Times New Roman" w:hAnsi="Times New Roman" w:eastAsia="方正仿宋_GBK"/>
          <w:sz w:val="30"/>
          <w:szCs w:val="30"/>
          <w:lang w:eastAsia="zh-CN"/>
        </w:rPr>
        <w:t>，根据</w:t>
      </w:r>
      <w:r>
        <w:rPr>
          <w:rFonts w:hint="eastAsia" w:ascii="Times New Roman" w:hAnsi="Times New Roman" w:eastAsia="方正仿宋_GBK"/>
          <w:sz w:val="30"/>
          <w:szCs w:val="30"/>
        </w:rPr>
        <w:t>江价〔2008〕246号</w:t>
      </w:r>
      <w:r>
        <w:rPr>
          <w:rFonts w:hint="eastAsia" w:ascii="Times New Roman" w:hAnsi="Times New Roman" w:eastAsia="方正仿宋_GBK"/>
          <w:sz w:val="30"/>
          <w:szCs w:val="30"/>
          <w:lang w:eastAsia="zh-CN"/>
        </w:rPr>
        <w:t>文有关规定，</w:t>
      </w:r>
      <w:r>
        <w:rPr>
          <w:rFonts w:hint="eastAsia" w:ascii="Times New Roman" w:hAnsi="Times New Roman" w:eastAsia="方正仿宋_GBK"/>
          <w:sz w:val="30"/>
          <w:szCs w:val="30"/>
        </w:rPr>
        <w:t>三级</w:t>
      </w:r>
      <w:r>
        <w:rPr>
          <w:rFonts w:hint="eastAsia" w:ascii="Times New Roman" w:hAnsi="Times New Roman" w:eastAsia="方正仿宋_GBK"/>
          <w:sz w:val="30"/>
          <w:szCs w:val="30"/>
          <w:lang w:eastAsia="zh-CN"/>
        </w:rPr>
        <w:t>、二级、一级及以下（含未定级）</w:t>
      </w:r>
      <w:r>
        <w:rPr>
          <w:rFonts w:hint="eastAsia" w:ascii="Times New Roman" w:hAnsi="Times New Roman" w:eastAsia="方正仿宋_GBK"/>
          <w:sz w:val="30"/>
          <w:szCs w:val="30"/>
        </w:rPr>
        <w:t>公立医疗机构</w:t>
      </w:r>
      <w:r>
        <w:rPr>
          <w:rFonts w:hint="eastAsia" w:ascii="Times New Roman" w:hAnsi="Times New Roman" w:eastAsia="方正仿宋_GBK"/>
          <w:sz w:val="30"/>
          <w:szCs w:val="30"/>
          <w:lang w:eastAsia="zh-CN"/>
        </w:rPr>
        <w:t>按</w:t>
      </w:r>
      <w:r>
        <w:rPr>
          <w:rFonts w:hint="eastAsia" w:ascii="Times New Roman" w:hAnsi="Times New Roman" w:eastAsia="方正仿宋_GBK"/>
          <w:sz w:val="30"/>
          <w:szCs w:val="30"/>
        </w:rPr>
        <w:t>5%</w:t>
      </w:r>
      <w:r>
        <w:rPr>
          <w:rFonts w:hint="eastAsia" w:ascii="Times New Roman" w:hAnsi="Times New Roman" w:eastAsia="方正仿宋_GBK"/>
          <w:sz w:val="30"/>
          <w:szCs w:val="30"/>
          <w:lang w:eastAsia="zh-CN"/>
        </w:rPr>
        <w:t>设置级别间价差。</w:t>
      </w:r>
    </w:p>
    <w:p>
      <w:pPr>
        <w:pStyle w:val="8"/>
        <w:widowControl/>
        <w:adjustRightInd/>
        <w:snapToGrid/>
        <w:spacing w:before="0" w:beforeAutospacing="0" w:after="0" w:afterAutospacing="0" w:line="580" w:lineRule="exact"/>
        <w:ind w:firstLine="600" w:firstLineChars="200"/>
        <w:jc w:val="both"/>
        <w:rPr>
          <w:rFonts w:hint="eastAsia" w:ascii="Times New Roman" w:hAnsi="Times New Roman" w:eastAsia="方正仿宋_GBK"/>
          <w:sz w:val="30"/>
          <w:szCs w:val="30"/>
        </w:rPr>
      </w:pPr>
      <w:r>
        <w:rPr>
          <w:rFonts w:hint="eastAsia" w:ascii="方正楷体_GBK" w:hAnsi="方正楷体_GBK" w:eastAsia="方正楷体_GBK" w:cs="方正楷体_GBK"/>
          <w:sz w:val="30"/>
          <w:szCs w:val="30"/>
          <w:lang w:eastAsia="zh-CN"/>
        </w:rPr>
        <w:t>（三）</w:t>
      </w:r>
      <w:r>
        <w:rPr>
          <w:rFonts w:hint="eastAsia" w:ascii="方正楷体_GBK" w:hAnsi="方正楷体_GBK" w:eastAsia="方正楷体_GBK" w:cs="方正楷体_GBK"/>
          <w:sz w:val="30"/>
          <w:szCs w:val="30"/>
        </w:rPr>
        <w:t>新旧定价档次衔接。</w:t>
      </w:r>
      <w:r>
        <w:rPr>
          <w:rFonts w:hint="eastAsia" w:ascii="Times New Roman" w:hAnsi="Times New Roman" w:eastAsia="方正仿宋_GBK"/>
          <w:sz w:val="30"/>
          <w:szCs w:val="30"/>
        </w:rPr>
        <w:t>原定价档次（城市公立三级医院，城市公立二级医院，县级公立医院，乡镇卫生院、社区卫生服务中心）原则上</w:t>
      </w:r>
      <w:r>
        <w:rPr>
          <w:rFonts w:hint="eastAsia" w:ascii="Times New Roman" w:hAnsi="Times New Roman" w:eastAsia="方正仿宋_GBK"/>
          <w:sz w:val="30"/>
          <w:szCs w:val="30"/>
          <w:lang w:eastAsia="zh-CN"/>
        </w:rPr>
        <w:t>逐步</w:t>
      </w:r>
      <w:r>
        <w:rPr>
          <w:rFonts w:hint="eastAsia" w:ascii="Times New Roman" w:hAnsi="Times New Roman" w:eastAsia="方正仿宋_GBK"/>
          <w:sz w:val="30"/>
          <w:szCs w:val="30"/>
        </w:rPr>
        <w:t>不再执行，</w:t>
      </w:r>
      <w:r>
        <w:rPr>
          <w:rFonts w:hint="eastAsia" w:ascii="Times New Roman" w:hAnsi="Times New Roman" w:eastAsia="方正仿宋_GBK"/>
          <w:sz w:val="30"/>
          <w:szCs w:val="30"/>
          <w:lang w:eastAsia="zh-CN"/>
        </w:rPr>
        <w:t>将</w:t>
      </w:r>
      <w:r>
        <w:rPr>
          <w:rFonts w:hint="eastAsia" w:ascii="Times New Roman" w:hAnsi="Times New Roman" w:eastAsia="方正仿宋_GBK"/>
          <w:sz w:val="30"/>
          <w:szCs w:val="30"/>
        </w:rPr>
        <w:t>按新定价原则过渡衔接。定价档次</w:t>
      </w:r>
      <w:r>
        <w:rPr>
          <w:rFonts w:hint="eastAsia" w:ascii="Times New Roman" w:hAnsi="Times New Roman" w:eastAsia="方正仿宋_GBK"/>
          <w:sz w:val="30"/>
          <w:szCs w:val="30"/>
          <w:lang w:eastAsia="zh-CN"/>
        </w:rPr>
        <w:t>的调整是指</w:t>
      </w:r>
      <w:r>
        <w:rPr>
          <w:rFonts w:hint="eastAsia" w:ascii="Times New Roman" w:hAnsi="Times New Roman" w:eastAsia="方正仿宋_GBK"/>
          <w:sz w:val="30"/>
          <w:szCs w:val="30"/>
        </w:rPr>
        <w:t>定价档次</w:t>
      </w:r>
      <w:r>
        <w:rPr>
          <w:rFonts w:hint="eastAsia" w:ascii="Times New Roman" w:hAnsi="Times New Roman" w:eastAsia="方正仿宋_GBK"/>
          <w:sz w:val="30"/>
          <w:szCs w:val="30"/>
          <w:lang w:eastAsia="zh-CN"/>
        </w:rPr>
        <w:t>名称的调整，同时各</w:t>
      </w:r>
      <w:r>
        <w:rPr>
          <w:rFonts w:hint="eastAsia" w:ascii="Times New Roman" w:hAnsi="Times New Roman" w:eastAsia="方正仿宋_GBK"/>
          <w:sz w:val="30"/>
          <w:szCs w:val="30"/>
        </w:rPr>
        <w:t>公立医疗机构</w:t>
      </w:r>
      <w:r>
        <w:rPr>
          <w:rFonts w:hint="eastAsia" w:ascii="Times New Roman" w:hAnsi="Times New Roman" w:eastAsia="方正仿宋_GBK"/>
          <w:sz w:val="30"/>
          <w:szCs w:val="30"/>
          <w:lang w:eastAsia="zh-CN"/>
        </w:rPr>
        <w:t>应根据医疗机构执业许可证登记的级别信息对标执行相应级别定价，暂不涉及具体价格的调整。</w:t>
      </w:r>
      <w:r>
        <w:rPr>
          <w:rFonts w:hint="eastAsia" w:ascii="Times New Roman" w:hAnsi="Times New Roman" w:eastAsia="方正仿宋_GBK"/>
          <w:sz w:val="30"/>
          <w:szCs w:val="30"/>
        </w:rPr>
        <w:t>具体为：</w:t>
      </w:r>
    </w:p>
    <w:p>
      <w:pPr>
        <w:pStyle w:val="8"/>
        <w:widowControl/>
        <w:adjustRightInd/>
        <w:snapToGrid/>
        <w:spacing w:before="0" w:beforeAutospacing="0" w:after="0" w:afterAutospacing="0" w:line="580" w:lineRule="exact"/>
        <w:ind w:firstLine="600" w:firstLineChars="200"/>
        <w:jc w:val="both"/>
        <w:rPr>
          <w:rFonts w:hint="eastAsia" w:ascii="Times New Roman" w:hAnsi="Times New Roman" w:eastAsia="方正仿宋_GBK"/>
          <w:sz w:val="30"/>
          <w:szCs w:val="30"/>
          <w:lang w:eastAsia="zh-CN"/>
        </w:rPr>
      </w:pPr>
      <w:r>
        <w:rPr>
          <w:rFonts w:hint="eastAsia" w:ascii="Times New Roman" w:hAnsi="Times New Roman" w:eastAsia="方正仿宋_GBK"/>
          <w:sz w:val="30"/>
          <w:szCs w:val="30"/>
        </w:rPr>
        <w:t>1.城市公立三级医院定价档次调整为三级公立医疗机构定价档次</w:t>
      </w:r>
      <w:r>
        <w:rPr>
          <w:rFonts w:hint="eastAsia" w:ascii="Times New Roman" w:hAnsi="Times New Roman" w:eastAsia="方正仿宋_GBK"/>
          <w:sz w:val="30"/>
          <w:szCs w:val="30"/>
          <w:lang w:eastAsia="zh-CN"/>
        </w:rPr>
        <w:t>。</w:t>
      </w:r>
    </w:p>
    <w:p>
      <w:pPr>
        <w:pStyle w:val="8"/>
        <w:widowControl/>
        <w:adjustRightInd/>
        <w:snapToGrid/>
        <w:spacing w:before="0" w:beforeAutospacing="0" w:after="0" w:afterAutospacing="0" w:line="580" w:lineRule="exact"/>
        <w:ind w:firstLine="600" w:firstLineChars="200"/>
        <w:jc w:val="both"/>
        <w:rPr>
          <w:rFonts w:hint="eastAsia" w:ascii="Times New Roman" w:hAnsi="Times New Roman" w:eastAsia="方正仿宋_GBK"/>
          <w:sz w:val="30"/>
          <w:szCs w:val="30"/>
          <w:lang w:eastAsia="zh-CN"/>
        </w:rPr>
      </w:pPr>
      <w:r>
        <w:rPr>
          <w:rFonts w:hint="eastAsia" w:ascii="Times New Roman" w:hAnsi="Times New Roman" w:eastAsia="方正仿宋_GBK"/>
          <w:sz w:val="30"/>
          <w:szCs w:val="30"/>
          <w:lang w:val="en-US" w:eastAsia="zh-CN"/>
        </w:rPr>
        <w:t>2.</w:t>
      </w:r>
      <w:r>
        <w:rPr>
          <w:rFonts w:hint="eastAsia" w:ascii="Times New Roman" w:hAnsi="Times New Roman" w:eastAsia="方正仿宋_GBK"/>
          <w:sz w:val="30"/>
          <w:szCs w:val="30"/>
        </w:rPr>
        <w:t>城市公立二级医院定价档次调整为二级公立医疗机构定价档次</w:t>
      </w:r>
      <w:r>
        <w:rPr>
          <w:rFonts w:hint="eastAsia" w:ascii="Times New Roman" w:hAnsi="Times New Roman" w:eastAsia="方正仿宋_GBK"/>
          <w:sz w:val="30"/>
          <w:szCs w:val="30"/>
          <w:lang w:eastAsia="zh-CN"/>
        </w:rPr>
        <w:t>。</w:t>
      </w:r>
    </w:p>
    <w:p>
      <w:pPr>
        <w:pStyle w:val="8"/>
        <w:widowControl/>
        <w:adjustRightInd/>
        <w:snapToGrid/>
        <w:spacing w:before="0" w:beforeAutospacing="0" w:after="0" w:afterAutospacing="0" w:line="580" w:lineRule="exact"/>
        <w:ind w:firstLine="600" w:firstLineChars="200"/>
        <w:rPr>
          <w:rFonts w:hint="eastAsia" w:ascii="Times New Roman" w:hAnsi="Times New Roman" w:eastAsia="方正仿宋_GBK"/>
          <w:sz w:val="30"/>
          <w:szCs w:val="30"/>
        </w:rPr>
      </w:pPr>
      <w:r>
        <w:rPr>
          <w:rFonts w:hint="eastAsia" w:ascii="Times New Roman" w:hAnsi="Times New Roman" w:eastAsia="方正仿宋_GBK"/>
          <w:sz w:val="30"/>
          <w:szCs w:val="30"/>
          <w:lang w:val="en-US" w:eastAsia="zh-CN"/>
        </w:rPr>
        <w:t>3.</w:t>
      </w:r>
      <w:r>
        <w:rPr>
          <w:rFonts w:hint="eastAsia" w:ascii="Times New Roman" w:hAnsi="Times New Roman" w:eastAsia="方正仿宋_GBK"/>
          <w:sz w:val="30"/>
          <w:szCs w:val="30"/>
        </w:rPr>
        <w:t>乡镇卫生院、社区卫生服务中心定价档次调整为一级及以下（含未定级）公立医疗机构定价档次。</w:t>
      </w:r>
    </w:p>
    <w:p>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580" w:lineRule="exact"/>
        <w:ind w:left="0" w:right="0" w:firstLine="600" w:firstLineChars="200"/>
        <w:textAlignment w:val="auto"/>
        <w:rPr>
          <w:rFonts w:hint="default" w:ascii="Times New Roman" w:hAnsi="Times New Roman" w:eastAsia="方正仿宋_GBK" w:cs="Times New Roman"/>
          <w:sz w:val="30"/>
          <w:szCs w:val="30"/>
          <w:lang w:val="en-US" w:eastAsia="zh-CN"/>
        </w:rPr>
      </w:pPr>
      <w:r>
        <w:rPr>
          <w:rFonts w:hint="eastAsia" w:ascii="Times New Roman" w:hAnsi="Times New Roman" w:eastAsia="方正仿宋_GBK" w:cs="Times New Roman"/>
          <w:sz w:val="30"/>
          <w:szCs w:val="30"/>
          <w:lang w:val="en-US" w:eastAsia="zh-CN"/>
        </w:rPr>
        <w:t>4</w:t>
      </w:r>
      <w:r>
        <w:rPr>
          <w:rFonts w:hint="default" w:ascii="Times New Roman" w:hAnsi="Times New Roman" w:eastAsia="方正仿宋_GBK" w:cs="Times New Roman"/>
          <w:sz w:val="30"/>
          <w:szCs w:val="30"/>
          <w:lang w:val="en-US" w:eastAsia="zh-CN"/>
        </w:rPr>
        <w:t>.</w:t>
      </w:r>
      <w:r>
        <w:rPr>
          <w:rFonts w:hint="eastAsia" w:ascii="Times New Roman" w:hAnsi="Times New Roman" w:eastAsia="方正仿宋_GBK" w:cs="Times New Roman"/>
          <w:sz w:val="30"/>
          <w:szCs w:val="30"/>
          <w:lang w:val="en-US" w:eastAsia="zh-CN"/>
        </w:rPr>
        <w:t>由于我市原城市公立二级医院、</w:t>
      </w:r>
      <w:r>
        <w:rPr>
          <w:rFonts w:hint="default" w:ascii="Times New Roman" w:hAnsi="Times New Roman" w:eastAsia="方正仿宋_GBK" w:cs="Times New Roman"/>
          <w:sz w:val="30"/>
          <w:szCs w:val="30"/>
          <w:lang w:val="en-US" w:eastAsia="zh-CN"/>
        </w:rPr>
        <w:t>县级公立医院定价档次</w:t>
      </w:r>
      <w:r>
        <w:rPr>
          <w:rFonts w:hint="eastAsia" w:ascii="Times New Roman" w:hAnsi="Times New Roman" w:eastAsia="方正仿宋_GBK" w:cs="Times New Roman"/>
          <w:sz w:val="30"/>
          <w:szCs w:val="30"/>
          <w:lang w:val="en-US" w:eastAsia="zh-CN"/>
        </w:rPr>
        <w:t>存在不同定价的</w:t>
      </w:r>
      <w:r>
        <w:rPr>
          <w:rFonts w:hint="eastAsia" w:ascii="Times New Roman" w:hAnsi="Times New Roman" w:eastAsia="方正仿宋_GBK"/>
          <w:sz w:val="30"/>
          <w:szCs w:val="30"/>
        </w:rPr>
        <w:t>医疗服务项目</w:t>
      </w:r>
      <w:r>
        <w:rPr>
          <w:rFonts w:hint="eastAsia" w:ascii="Times New Roman" w:hAnsi="Times New Roman" w:eastAsia="方正仿宋_GBK"/>
          <w:sz w:val="30"/>
          <w:szCs w:val="30"/>
          <w:lang w:eastAsia="zh-CN"/>
        </w:rPr>
        <w:t>，因此，</w:t>
      </w:r>
      <w:r>
        <w:rPr>
          <w:rFonts w:hint="default" w:ascii="Times New Roman" w:hAnsi="Times New Roman" w:eastAsia="方正仿宋_GBK" w:cs="Times New Roman"/>
          <w:sz w:val="30"/>
          <w:szCs w:val="30"/>
          <w:lang w:val="en-US" w:eastAsia="zh-CN"/>
        </w:rPr>
        <w:t>县级公立医院定价档次在</w:t>
      </w:r>
      <w:r>
        <w:rPr>
          <w:rFonts w:hint="eastAsia" w:ascii="Times New Roman" w:hAnsi="Times New Roman" w:eastAsia="方正仿宋_GBK" w:cs="Times New Roman"/>
          <w:sz w:val="30"/>
          <w:szCs w:val="30"/>
          <w:lang w:val="en-US" w:eastAsia="zh-CN"/>
        </w:rPr>
        <w:t>国家和省立项指南全部落地</w:t>
      </w:r>
      <w:r>
        <w:rPr>
          <w:rFonts w:hint="default" w:ascii="Times New Roman" w:hAnsi="Times New Roman" w:eastAsia="方正仿宋_GBK" w:cs="Times New Roman"/>
          <w:sz w:val="30"/>
          <w:szCs w:val="30"/>
          <w:lang w:val="en-US" w:eastAsia="zh-CN"/>
        </w:rPr>
        <w:t>前暂保持不变</w:t>
      </w:r>
      <w:r>
        <w:rPr>
          <w:rFonts w:hint="eastAsia" w:ascii="Times New Roman" w:hAnsi="Times New Roman" w:eastAsia="方正仿宋_GBK" w:cs="Times New Roman"/>
          <w:sz w:val="30"/>
          <w:szCs w:val="30"/>
          <w:lang w:val="en-US" w:eastAsia="zh-CN"/>
        </w:rPr>
        <w:t>。</w:t>
      </w:r>
      <w:r>
        <w:rPr>
          <w:rFonts w:hint="default" w:ascii="Times New Roman" w:hAnsi="Times New Roman" w:eastAsia="方正仿宋_GBK" w:cs="Times New Roman"/>
          <w:sz w:val="30"/>
          <w:szCs w:val="30"/>
          <w:lang w:val="en-US" w:eastAsia="zh-CN"/>
        </w:rPr>
        <w:t>原定价按县级公立医院</w:t>
      </w:r>
      <w:r>
        <w:rPr>
          <w:rFonts w:hint="eastAsia" w:ascii="Times New Roman" w:hAnsi="Times New Roman" w:eastAsia="方正仿宋_GBK" w:cs="Times New Roman"/>
          <w:sz w:val="30"/>
          <w:szCs w:val="30"/>
          <w:lang w:val="en-US" w:eastAsia="zh-CN"/>
        </w:rPr>
        <w:t>或乡镇卫生院、社区卫生服务中心</w:t>
      </w:r>
      <w:r>
        <w:rPr>
          <w:rFonts w:hint="default" w:ascii="Times New Roman" w:hAnsi="Times New Roman" w:eastAsia="方正仿宋_GBK" w:cs="Times New Roman"/>
          <w:sz w:val="30"/>
          <w:szCs w:val="30"/>
          <w:lang w:val="en-US" w:eastAsia="zh-CN"/>
        </w:rPr>
        <w:t>定价档次且</w:t>
      </w:r>
      <w:r>
        <w:rPr>
          <w:rFonts w:hint="eastAsia" w:ascii="Times New Roman" w:hAnsi="Times New Roman" w:eastAsia="方正仿宋_GBK" w:cs="Times New Roman"/>
          <w:sz w:val="30"/>
          <w:szCs w:val="30"/>
          <w:lang w:val="en-US" w:eastAsia="zh-CN"/>
        </w:rPr>
        <w:t>现行</w:t>
      </w:r>
      <w:r>
        <w:rPr>
          <w:rFonts w:hint="default" w:ascii="Times New Roman" w:hAnsi="Times New Roman" w:eastAsia="方正仿宋_GBK" w:cs="Times New Roman"/>
          <w:sz w:val="30"/>
          <w:szCs w:val="30"/>
          <w:lang w:val="en-US" w:eastAsia="zh-CN"/>
        </w:rPr>
        <w:t>医疗机构执业许可证登记的级别为二级的公立医疗机构，其定价暂按</w:t>
      </w:r>
      <w:r>
        <w:rPr>
          <w:rFonts w:hint="eastAsia" w:ascii="Times New Roman" w:hAnsi="Times New Roman" w:eastAsia="方正仿宋_GBK" w:cs="Times New Roman"/>
          <w:sz w:val="30"/>
          <w:szCs w:val="30"/>
          <w:lang w:val="en-US" w:eastAsia="zh-CN"/>
        </w:rPr>
        <w:t>或可调整按</w:t>
      </w:r>
      <w:r>
        <w:rPr>
          <w:rFonts w:hint="default" w:ascii="Times New Roman" w:hAnsi="Times New Roman" w:eastAsia="方正仿宋_GBK" w:cs="Times New Roman"/>
          <w:sz w:val="30"/>
          <w:szCs w:val="30"/>
          <w:lang w:val="en-US" w:eastAsia="zh-CN"/>
        </w:rPr>
        <w:t>县级公立医院定价档次。国家和省立项指南全部落地</w:t>
      </w:r>
      <w:r>
        <w:rPr>
          <w:rFonts w:hint="eastAsia" w:ascii="Times New Roman" w:hAnsi="Times New Roman" w:eastAsia="方正仿宋_GBK" w:cs="Times New Roman"/>
          <w:sz w:val="30"/>
          <w:szCs w:val="30"/>
          <w:lang w:val="en-US" w:eastAsia="zh-CN"/>
        </w:rPr>
        <w:t>且待省规范整合全部医疗服务项目后</w:t>
      </w:r>
      <w:r>
        <w:rPr>
          <w:rFonts w:hint="default" w:ascii="Times New Roman" w:hAnsi="Times New Roman" w:eastAsia="方正仿宋_GBK" w:cs="Times New Roman"/>
          <w:sz w:val="30"/>
          <w:szCs w:val="30"/>
          <w:lang w:val="en-US" w:eastAsia="zh-CN"/>
        </w:rPr>
        <w:t>，</w:t>
      </w:r>
      <w:r>
        <w:rPr>
          <w:rFonts w:hint="eastAsia" w:ascii="Times New Roman" w:hAnsi="Times New Roman" w:eastAsia="方正仿宋_GBK" w:cs="Times New Roman"/>
          <w:sz w:val="30"/>
          <w:szCs w:val="30"/>
          <w:lang w:val="en-US" w:eastAsia="zh-CN"/>
        </w:rPr>
        <w:t>即</w:t>
      </w:r>
      <w:r>
        <w:rPr>
          <w:rFonts w:hint="default" w:ascii="Times New Roman" w:hAnsi="Times New Roman" w:eastAsia="方正仿宋_GBK" w:cs="Times New Roman"/>
          <w:sz w:val="30"/>
          <w:szCs w:val="30"/>
          <w:lang w:val="en-US" w:eastAsia="zh-CN"/>
        </w:rPr>
        <w:t>县级公立医院定价档次</w:t>
      </w:r>
      <w:r>
        <w:rPr>
          <w:rFonts w:hint="eastAsia" w:ascii="Times New Roman" w:hAnsi="Times New Roman" w:eastAsia="方正仿宋_GBK" w:cs="Times New Roman"/>
          <w:sz w:val="30"/>
          <w:szCs w:val="30"/>
          <w:lang w:val="en-US" w:eastAsia="zh-CN"/>
        </w:rPr>
        <w:t>定价已与</w:t>
      </w:r>
      <w:r>
        <w:rPr>
          <w:rFonts w:hint="eastAsia" w:ascii="Times New Roman" w:hAnsi="Times New Roman" w:eastAsia="方正仿宋_GBK"/>
          <w:sz w:val="30"/>
          <w:szCs w:val="30"/>
        </w:rPr>
        <w:t>二级公立医疗机构定价档次</w:t>
      </w:r>
      <w:r>
        <w:rPr>
          <w:rFonts w:hint="eastAsia" w:ascii="Times New Roman" w:hAnsi="Times New Roman" w:eastAsia="方正仿宋_GBK"/>
          <w:sz w:val="30"/>
          <w:szCs w:val="30"/>
          <w:lang w:eastAsia="zh-CN"/>
        </w:rPr>
        <w:t>定价基本一致后，</w:t>
      </w:r>
      <w:r>
        <w:rPr>
          <w:rFonts w:hint="default" w:ascii="Times New Roman" w:hAnsi="Times New Roman" w:eastAsia="方正仿宋_GBK" w:cs="Times New Roman"/>
          <w:sz w:val="30"/>
          <w:szCs w:val="30"/>
          <w:lang w:val="en-US" w:eastAsia="zh-CN"/>
        </w:rPr>
        <w:t>县级公立医院定价档次</w:t>
      </w:r>
      <w:r>
        <w:rPr>
          <w:rFonts w:hint="eastAsia" w:ascii="Times New Roman" w:hAnsi="Times New Roman" w:eastAsia="方正仿宋_GBK" w:cs="Times New Roman"/>
          <w:sz w:val="30"/>
          <w:szCs w:val="30"/>
          <w:lang w:val="en-US" w:eastAsia="zh-CN"/>
        </w:rPr>
        <w:t>自然合并统一过渡</w:t>
      </w:r>
      <w:r>
        <w:rPr>
          <w:rFonts w:hint="default" w:ascii="Times New Roman" w:hAnsi="Times New Roman" w:eastAsia="方正仿宋_GBK" w:cs="Times New Roman"/>
          <w:sz w:val="30"/>
          <w:szCs w:val="30"/>
          <w:lang w:val="en-US" w:eastAsia="zh-CN"/>
        </w:rPr>
        <w:t>调整为二级公立医疗机构定价档次</w:t>
      </w:r>
      <w:r>
        <w:rPr>
          <w:rFonts w:hint="eastAsia" w:ascii="Times New Roman" w:hAnsi="Times New Roman" w:eastAsia="方正仿宋_GBK" w:cs="Times New Roman"/>
          <w:sz w:val="30"/>
          <w:szCs w:val="30"/>
          <w:lang w:val="en-US" w:eastAsia="zh-CN"/>
        </w:rPr>
        <w:t>，届时原则上不再保留县级公立医院定价档次</w:t>
      </w:r>
      <w:r>
        <w:rPr>
          <w:rFonts w:hint="default" w:ascii="Times New Roman" w:hAnsi="Times New Roman" w:eastAsia="方正仿宋_GBK" w:cs="Times New Roman"/>
          <w:sz w:val="30"/>
          <w:szCs w:val="30"/>
          <w:lang w:val="en-US" w:eastAsia="zh-CN"/>
        </w:rPr>
        <w:t>。</w:t>
      </w:r>
    </w:p>
    <w:p>
      <w:pPr>
        <w:pStyle w:val="8"/>
        <w:widowControl/>
        <w:adjustRightInd/>
        <w:snapToGrid/>
        <w:spacing w:before="0" w:beforeAutospacing="0" w:after="0" w:afterAutospacing="0" w:line="580" w:lineRule="exact"/>
        <w:ind w:firstLine="600" w:firstLineChars="200"/>
        <w:rPr>
          <w:rFonts w:hint="eastAsia" w:ascii="Times New Roman" w:hAnsi="Times New Roman" w:eastAsia="方正仿宋_GBK" w:cs="Times New Roman"/>
          <w:sz w:val="30"/>
          <w:szCs w:val="30"/>
          <w:u w:val="none"/>
          <w:lang w:val="en-US" w:eastAsia="zh-CN"/>
        </w:rPr>
      </w:pPr>
      <w:r>
        <w:rPr>
          <w:rFonts w:hint="eastAsia" w:ascii="方正楷体_GBK" w:hAnsi="方正楷体_GBK" w:eastAsia="方正楷体_GBK" w:cs="方正楷体_GBK"/>
          <w:sz w:val="30"/>
          <w:szCs w:val="30"/>
          <w:u w:val="none"/>
          <w:lang w:val="en-US" w:eastAsia="zh-CN"/>
        </w:rPr>
        <w:t>（四）</w:t>
      </w:r>
      <w:r>
        <w:rPr>
          <w:rFonts w:hint="eastAsia" w:ascii="方正楷体_GBK" w:hAnsi="方正楷体_GBK" w:eastAsia="方正楷体_GBK" w:cs="方正楷体_GBK"/>
          <w:sz w:val="30"/>
          <w:szCs w:val="30"/>
          <w:u w:val="none"/>
          <w:lang w:eastAsia="zh-CN"/>
        </w:rPr>
        <w:t>医保</w:t>
      </w:r>
      <w:r>
        <w:rPr>
          <w:rFonts w:hint="eastAsia" w:ascii="方正楷体_GBK" w:hAnsi="方正楷体_GBK" w:eastAsia="方正楷体_GBK" w:cs="方正楷体_GBK"/>
          <w:sz w:val="30"/>
          <w:szCs w:val="30"/>
          <w:u w:val="none"/>
          <w:lang w:val="en-US" w:eastAsia="zh-CN"/>
        </w:rPr>
        <w:t>定点规定衔接。</w:t>
      </w:r>
      <w:r>
        <w:rPr>
          <w:rFonts w:hint="eastAsia" w:ascii="Times New Roman" w:hAnsi="Times New Roman" w:eastAsia="方正仿宋_GBK" w:cs="Times New Roman"/>
          <w:sz w:val="30"/>
          <w:szCs w:val="30"/>
          <w:u w:val="none"/>
          <w:lang w:val="en-US" w:eastAsia="zh-CN"/>
        </w:rPr>
        <w:t>由于2026年医保待遇标准已公布，且参保人已完成普通门诊选点，为保持待遇政策平稳执行，定点医疗机构结算级别（包括待遇报销、普通门诊选点等）暂按现行标准保持不变，有关调整由市医保局会</w:t>
      </w:r>
      <w:bookmarkStart w:id="0" w:name="_GoBack"/>
      <w:bookmarkEnd w:id="0"/>
      <w:r>
        <w:rPr>
          <w:rFonts w:hint="eastAsia" w:ascii="Times New Roman" w:hAnsi="Times New Roman" w:eastAsia="方正仿宋_GBK" w:cs="Times New Roman"/>
          <w:sz w:val="30"/>
          <w:szCs w:val="30"/>
          <w:u w:val="none"/>
          <w:lang w:val="en-US" w:eastAsia="zh-CN"/>
        </w:rPr>
        <w:t>同相关部门另行发文明确。</w:t>
      </w:r>
    </w:p>
    <w:p>
      <w:pPr>
        <w:pStyle w:val="8"/>
        <w:widowControl/>
        <w:adjustRightInd/>
        <w:spacing w:before="0" w:beforeAutospacing="0" w:after="0" w:afterAutospacing="0"/>
        <w:ind w:firstLine="640" w:firstLineChars="200"/>
        <w:rPr>
          <w:rFonts w:ascii="仿宋_GB2312" w:hAnsi="仿宋_GB2312" w:eastAsia="仿宋_GB2312" w:cs="仿宋_GB2312"/>
          <w:color w:val="auto"/>
          <w:kern w:val="2"/>
          <w:sz w:val="32"/>
        </w:rPr>
      </w:pPr>
    </w:p>
    <w:sectPr>
      <w:footerReference r:id="rId3" w:type="default"/>
      <w:footerReference r:id="rId4" w:type="even"/>
      <w:pgSz w:w="11906" w:h="16838"/>
      <w:pgMar w:top="1701" w:right="1474" w:bottom="1134" w:left="1588" w:header="851" w:footer="992" w:gutter="0"/>
      <w:pgNumType w:fmt="numberInDash" w:start="1"/>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Times New Roman"/>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方正仿宋简体">
    <w:panose1 w:val="02010601030101010101"/>
    <w:charset w:val="86"/>
    <w:family w:val="auto"/>
    <w:pitch w:val="default"/>
    <w:sig w:usb0="00000001" w:usb1="080E0000" w:usb2="00000000" w:usb3="00000000" w:csb0="00040000" w:csb1="00000000"/>
  </w:font>
  <w:font w:name="方正小标宋_GBK">
    <w:panose1 w:val="02000000000000000000"/>
    <w:charset w:val="86"/>
    <w:family w:val="script"/>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ind w:right="360" w:firstLine="360"/>
    </w:pPr>
    <w:r>
      <w:pict>
        <v:shape id="_x0000_s4097" o:spid="_x0000_s4097" o:spt="202" type="#_x0000_t202" style="position:absolute;left:0pt;margin-top:0pt;height:144pt;width:144pt;mso-position-horizontal:outside;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pPr>
                  <w:pStyle w:val="5"/>
                  <w:rPr>
                    <w:rStyle w:val="12"/>
                    <w:rFonts w:ascii="宋体" w:hAnsi="宋体"/>
                    <w:sz w:val="28"/>
                  </w:rPr>
                </w:pPr>
                <w:r>
                  <w:rPr>
                    <w:rFonts w:ascii="宋体" w:hAnsi="宋体"/>
                    <w:sz w:val="28"/>
                  </w:rPr>
                  <w:fldChar w:fldCharType="begin"/>
                </w:r>
                <w:r>
                  <w:rPr>
                    <w:rStyle w:val="12"/>
                    <w:rFonts w:ascii="宋体" w:hAnsi="宋体"/>
                    <w:sz w:val="28"/>
                  </w:rPr>
                  <w:instrText xml:space="preserve">PAGE  </w:instrText>
                </w:r>
                <w:r>
                  <w:rPr>
                    <w:rFonts w:ascii="宋体" w:hAnsi="宋体"/>
                    <w:sz w:val="28"/>
                  </w:rPr>
                  <w:fldChar w:fldCharType="separate"/>
                </w:r>
                <w:r>
                  <w:rPr>
                    <w:rStyle w:val="12"/>
                    <w:rFonts w:ascii="宋体" w:hAnsi="宋体"/>
                    <w:sz w:val="28"/>
                  </w:rPr>
                  <w:t>- 3 -</w:t>
                </w:r>
                <w:r>
                  <w:rPr>
                    <w:rFonts w:ascii="宋体" w:hAnsi="宋体"/>
                    <w:sz w:val="2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outside" w:y="1"/>
      <w:rPr>
        <w:rStyle w:val="12"/>
      </w:rPr>
    </w:pPr>
    <w:r>
      <w:fldChar w:fldCharType="begin"/>
    </w:r>
    <w:r>
      <w:rPr>
        <w:rStyle w:val="12"/>
      </w:rPr>
      <w:instrText xml:space="preserve">PAGE  </w:instrText>
    </w:r>
    <w:r>
      <w:fldChar w:fldCharType="separate"/>
    </w:r>
    <w:r>
      <w:rPr>
        <w:rStyle w:val="12"/>
      </w:rPr>
      <w:t>- 1 -</w:t>
    </w:r>
    <w:r>
      <w:fldChar w:fldCharType="end"/>
    </w:r>
  </w:p>
  <w:p>
    <w:pPr>
      <w:pStyle w:val="5"/>
      <w:ind w:right="360" w:firstLine="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true"/>
  <w:bordersDoNotSurroundHeader w:val="false"/>
  <w:bordersDoNotSurroundFooter w:val="fals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true"/>
  <w:documentProtection w:enforcement="0"/>
  <w:defaultTabStop w:val="420"/>
  <w:hyphenationZone w:val="360"/>
  <w:drawingGridVerticalSpacing w:val="156"/>
  <w:displayHorizontalDrawingGridEvery w:val="1"/>
  <w:displayVerticalDrawingGridEvery w:val="1"/>
  <w:noPunctuationKerning w:val="true"/>
  <w:characterSpacingControl w:val="compressPunctuation"/>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KGWebUrl" w:val="http://19.121.241.45/seeyon/officeservlet"/>
  </w:docVars>
  <w:rsids>
    <w:rsidRoot w:val="00172A27"/>
    <w:rsid w:val="00005AF9"/>
    <w:rsid w:val="00015382"/>
    <w:rsid w:val="00031E6F"/>
    <w:rsid w:val="00035006"/>
    <w:rsid w:val="000461B4"/>
    <w:rsid w:val="0004731F"/>
    <w:rsid w:val="00052947"/>
    <w:rsid w:val="000669D4"/>
    <w:rsid w:val="00070185"/>
    <w:rsid w:val="00080F05"/>
    <w:rsid w:val="00086F39"/>
    <w:rsid w:val="000A20CC"/>
    <w:rsid w:val="000B0C37"/>
    <w:rsid w:val="000D0E34"/>
    <w:rsid w:val="000E1A23"/>
    <w:rsid w:val="000F0344"/>
    <w:rsid w:val="00105301"/>
    <w:rsid w:val="00106EBA"/>
    <w:rsid w:val="00115406"/>
    <w:rsid w:val="0014421E"/>
    <w:rsid w:val="00145E00"/>
    <w:rsid w:val="00151D21"/>
    <w:rsid w:val="00166B75"/>
    <w:rsid w:val="001712C8"/>
    <w:rsid w:val="001748F5"/>
    <w:rsid w:val="00183A44"/>
    <w:rsid w:val="00191093"/>
    <w:rsid w:val="001A2061"/>
    <w:rsid w:val="001A3E21"/>
    <w:rsid w:val="001C6A44"/>
    <w:rsid w:val="001D2746"/>
    <w:rsid w:val="001D41CA"/>
    <w:rsid w:val="001D7A1C"/>
    <w:rsid w:val="001E21A6"/>
    <w:rsid w:val="001E4CF5"/>
    <w:rsid w:val="001F71ED"/>
    <w:rsid w:val="002057E4"/>
    <w:rsid w:val="00206CA1"/>
    <w:rsid w:val="00210248"/>
    <w:rsid w:val="00234B11"/>
    <w:rsid w:val="002368C7"/>
    <w:rsid w:val="002627DD"/>
    <w:rsid w:val="002640CF"/>
    <w:rsid w:val="00264839"/>
    <w:rsid w:val="00275573"/>
    <w:rsid w:val="0027748F"/>
    <w:rsid w:val="00291173"/>
    <w:rsid w:val="00297775"/>
    <w:rsid w:val="002B749A"/>
    <w:rsid w:val="002B7FDE"/>
    <w:rsid w:val="002C434C"/>
    <w:rsid w:val="002C5FA7"/>
    <w:rsid w:val="002D1714"/>
    <w:rsid w:val="002D422C"/>
    <w:rsid w:val="002D4670"/>
    <w:rsid w:val="002D589D"/>
    <w:rsid w:val="002E2A2A"/>
    <w:rsid w:val="002E2BA3"/>
    <w:rsid w:val="002E2EBD"/>
    <w:rsid w:val="002E7416"/>
    <w:rsid w:val="002E7D17"/>
    <w:rsid w:val="002F2A95"/>
    <w:rsid w:val="0031317C"/>
    <w:rsid w:val="00321C78"/>
    <w:rsid w:val="00333DD8"/>
    <w:rsid w:val="00334FFA"/>
    <w:rsid w:val="00354803"/>
    <w:rsid w:val="00356EA1"/>
    <w:rsid w:val="00362973"/>
    <w:rsid w:val="0036657C"/>
    <w:rsid w:val="00367F1D"/>
    <w:rsid w:val="003726B9"/>
    <w:rsid w:val="00383630"/>
    <w:rsid w:val="00392D2F"/>
    <w:rsid w:val="0039475F"/>
    <w:rsid w:val="003A2BE4"/>
    <w:rsid w:val="003C505D"/>
    <w:rsid w:val="003C7018"/>
    <w:rsid w:val="003E1D4D"/>
    <w:rsid w:val="003E4E7A"/>
    <w:rsid w:val="003F10F9"/>
    <w:rsid w:val="003F3BA5"/>
    <w:rsid w:val="003F3ECF"/>
    <w:rsid w:val="003F4DD3"/>
    <w:rsid w:val="00403A81"/>
    <w:rsid w:val="00407F09"/>
    <w:rsid w:val="00413772"/>
    <w:rsid w:val="00424262"/>
    <w:rsid w:val="004278FA"/>
    <w:rsid w:val="00444AFA"/>
    <w:rsid w:val="004472DD"/>
    <w:rsid w:val="0045375D"/>
    <w:rsid w:val="00482D73"/>
    <w:rsid w:val="0048772D"/>
    <w:rsid w:val="004940D8"/>
    <w:rsid w:val="004972A6"/>
    <w:rsid w:val="004A4B0D"/>
    <w:rsid w:val="004C2D52"/>
    <w:rsid w:val="004C3F0C"/>
    <w:rsid w:val="004D0A89"/>
    <w:rsid w:val="004D14F7"/>
    <w:rsid w:val="004D34F4"/>
    <w:rsid w:val="004D38C6"/>
    <w:rsid w:val="004D6140"/>
    <w:rsid w:val="004F6B64"/>
    <w:rsid w:val="00500D9A"/>
    <w:rsid w:val="005435D8"/>
    <w:rsid w:val="005508C6"/>
    <w:rsid w:val="00554976"/>
    <w:rsid w:val="00556F07"/>
    <w:rsid w:val="00571C3A"/>
    <w:rsid w:val="0058062C"/>
    <w:rsid w:val="00581DC2"/>
    <w:rsid w:val="00597CFA"/>
    <w:rsid w:val="005A02FF"/>
    <w:rsid w:val="005A4E9E"/>
    <w:rsid w:val="005B2B6F"/>
    <w:rsid w:val="005B6DD0"/>
    <w:rsid w:val="005B79F3"/>
    <w:rsid w:val="005C6261"/>
    <w:rsid w:val="005E3DCF"/>
    <w:rsid w:val="005F1AD3"/>
    <w:rsid w:val="005F75FF"/>
    <w:rsid w:val="005F7D4C"/>
    <w:rsid w:val="00602D38"/>
    <w:rsid w:val="00603E9C"/>
    <w:rsid w:val="00604400"/>
    <w:rsid w:val="00606ED8"/>
    <w:rsid w:val="00611586"/>
    <w:rsid w:val="0061503A"/>
    <w:rsid w:val="00615D8A"/>
    <w:rsid w:val="006317AE"/>
    <w:rsid w:val="006359E6"/>
    <w:rsid w:val="0064624F"/>
    <w:rsid w:val="00651DDD"/>
    <w:rsid w:val="00655677"/>
    <w:rsid w:val="006719FD"/>
    <w:rsid w:val="006725BB"/>
    <w:rsid w:val="00677A64"/>
    <w:rsid w:val="00697387"/>
    <w:rsid w:val="00697597"/>
    <w:rsid w:val="006A0C68"/>
    <w:rsid w:val="006A361B"/>
    <w:rsid w:val="006B4469"/>
    <w:rsid w:val="006D5352"/>
    <w:rsid w:val="006D6F12"/>
    <w:rsid w:val="006F327F"/>
    <w:rsid w:val="00710940"/>
    <w:rsid w:val="00722BFC"/>
    <w:rsid w:val="007342D4"/>
    <w:rsid w:val="0073478D"/>
    <w:rsid w:val="00742072"/>
    <w:rsid w:val="00746DFF"/>
    <w:rsid w:val="00770467"/>
    <w:rsid w:val="00777366"/>
    <w:rsid w:val="00781896"/>
    <w:rsid w:val="007832B2"/>
    <w:rsid w:val="00786914"/>
    <w:rsid w:val="00793B97"/>
    <w:rsid w:val="007B44B8"/>
    <w:rsid w:val="007D061D"/>
    <w:rsid w:val="007E09F3"/>
    <w:rsid w:val="007E19FF"/>
    <w:rsid w:val="007F3596"/>
    <w:rsid w:val="0080587E"/>
    <w:rsid w:val="0081149A"/>
    <w:rsid w:val="008216CE"/>
    <w:rsid w:val="008328D6"/>
    <w:rsid w:val="008329BD"/>
    <w:rsid w:val="00847AB6"/>
    <w:rsid w:val="008573EC"/>
    <w:rsid w:val="0087455A"/>
    <w:rsid w:val="00874961"/>
    <w:rsid w:val="0088769F"/>
    <w:rsid w:val="0089302E"/>
    <w:rsid w:val="00896B28"/>
    <w:rsid w:val="008A737F"/>
    <w:rsid w:val="008C3FA0"/>
    <w:rsid w:val="008D3118"/>
    <w:rsid w:val="008D31D9"/>
    <w:rsid w:val="008D5FF0"/>
    <w:rsid w:val="008F1B0C"/>
    <w:rsid w:val="008F6DBC"/>
    <w:rsid w:val="00911F52"/>
    <w:rsid w:val="0091292F"/>
    <w:rsid w:val="009167C2"/>
    <w:rsid w:val="00926127"/>
    <w:rsid w:val="009336F3"/>
    <w:rsid w:val="00937F3D"/>
    <w:rsid w:val="0094022D"/>
    <w:rsid w:val="00945085"/>
    <w:rsid w:val="00945E84"/>
    <w:rsid w:val="00953495"/>
    <w:rsid w:val="00953897"/>
    <w:rsid w:val="00954EBC"/>
    <w:rsid w:val="00956BFC"/>
    <w:rsid w:val="0095754F"/>
    <w:rsid w:val="00963708"/>
    <w:rsid w:val="00966B24"/>
    <w:rsid w:val="00971476"/>
    <w:rsid w:val="009742A1"/>
    <w:rsid w:val="00980641"/>
    <w:rsid w:val="0099633E"/>
    <w:rsid w:val="009977D4"/>
    <w:rsid w:val="009A177E"/>
    <w:rsid w:val="009A4D39"/>
    <w:rsid w:val="009A7744"/>
    <w:rsid w:val="009C3DE2"/>
    <w:rsid w:val="009D1135"/>
    <w:rsid w:val="009E2BB9"/>
    <w:rsid w:val="009F74EA"/>
    <w:rsid w:val="00A03ED5"/>
    <w:rsid w:val="00A22DD5"/>
    <w:rsid w:val="00A25084"/>
    <w:rsid w:val="00A37FAE"/>
    <w:rsid w:val="00A450B0"/>
    <w:rsid w:val="00A4707B"/>
    <w:rsid w:val="00A506D6"/>
    <w:rsid w:val="00A51256"/>
    <w:rsid w:val="00A51A1C"/>
    <w:rsid w:val="00A57C73"/>
    <w:rsid w:val="00A7240D"/>
    <w:rsid w:val="00A80A82"/>
    <w:rsid w:val="00A9767E"/>
    <w:rsid w:val="00AA1718"/>
    <w:rsid w:val="00AA5907"/>
    <w:rsid w:val="00AB0063"/>
    <w:rsid w:val="00AB233F"/>
    <w:rsid w:val="00AC3029"/>
    <w:rsid w:val="00AC4EDB"/>
    <w:rsid w:val="00AD3BB4"/>
    <w:rsid w:val="00AD65FF"/>
    <w:rsid w:val="00AE01DA"/>
    <w:rsid w:val="00AE750C"/>
    <w:rsid w:val="00B00EB1"/>
    <w:rsid w:val="00B032C6"/>
    <w:rsid w:val="00B05599"/>
    <w:rsid w:val="00B157FF"/>
    <w:rsid w:val="00B3105E"/>
    <w:rsid w:val="00B74CB1"/>
    <w:rsid w:val="00B8670B"/>
    <w:rsid w:val="00B92F15"/>
    <w:rsid w:val="00BC49A6"/>
    <w:rsid w:val="00BD24DA"/>
    <w:rsid w:val="00BE2790"/>
    <w:rsid w:val="00BE7EF6"/>
    <w:rsid w:val="00BF1FD7"/>
    <w:rsid w:val="00C00633"/>
    <w:rsid w:val="00C110DE"/>
    <w:rsid w:val="00C21A5D"/>
    <w:rsid w:val="00C357A7"/>
    <w:rsid w:val="00C4092E"/>
    <w:rsid w:val="00C4586C"/>
    <w:rsid w:val="00C5383A"/>
    <w:rsid w:val="00C642EC"/>
    <w:rsid w:val="00C66743"/>
    <w:rsid w:val="00C720A7"/>
    <w:rsid w:val="00C9488B"/>
    <w:rsid w:val="00CA37E6"/>
    <w:rsid w:val="00CA6680"/>
    <w:rsid w:val="00CB179F"/>
    <w:rsid w:val="00CB53E2"/>
    <w:rsid w:val="00CD35A0"/>
    <w:rsid w:val="00CD40C7"/>
    <w:rsid w:val="00CD6180"/>
    <w:rsid w:val="00CE1736"/>
    <w:rsid w:val="00CE1EA9"/>
    <w:rsid w:val="00CE1ED5"/>
    <w:rsid w:val="00CE45D1"/>
    <w:rsid w:val="00CE4A33"/>
    <w:rsid w:val="00CF3702"/>
    <w:rsid w:val="00CF3811"/>
    <w:rsid w:val="00CF7445"/>
    <w:rsid w:val="00D0626C"/>
    <w:rsid w:val="00D06B2C"/>
    <w:rsid w:val="00D1444F"/>
    <w:rsid w:val="00D149A3"/>
    <w:rsid w:val="00D225AA"/>
    <w:rsid w:val="00D2276D"/>
    <w:rsid w:val="00D23CAE"/>
    <w:rsid w:val="00D34CAA"/>
    <w:rsid w:val="00D356D6"/>
    <w:rsid w:val="00D40E58"/>
    <w:rsid w:val="00D6369D"/>
    <w:rsid w:val="00D75041"/>
    <w:rsid w:val="00D94FB6"/>
    <w:rsid w:val="00DA0F2C"/>
    <w:rsid w:val="00DC5F31"/>
    <w:rsid w:val="00DE5335"/>
    <w:rsid w:val="00DE7CBA"/>
    <w:rsid w:val="00E01B63"/>
    <w:rsid w:val="00E1002D"/>
    <w:rsid w:val="00E209CE"/>
    <w:rsid w:val="00E2107F"/>
    <w:rsid w:val="00E247D5"/>
    <w:rsid w:val="00E30CEC"/>
    <w:rsid w:val="00E319EB"/>
    <w:rsid w:val="00E44570"/>
    <w:rsid w:val="00E45B58"/>
    <w:rsid w:val="00E55958"/>
    <w:rsid w:val="00E579B8"/>
    <w:rsid w:val="00E9145D"/>
    <w:rsid w:val="00E91AF0"/>
    <w:rsid w:val="00EA3B5B"/>
    <w:rsid w:val="00EB4133"/>
    <w:rsid w:val="00EC2980"/>
    <w:rsid w:val="00EC4321"/>
    <w:rsid w:val="00EC7922"/>
    <w:rsid w:val="00EE3132"/>
    <w:rsid w:val="00EE394C"/>
    <w:rsid w:val="00EF3AA4"/>
    <w:rsid w:val="00EF5F5A"/>
    <w:rsid w:val="00F143AF"/>
    <w:rsid w:val="00F16FAB"/>
    <w:rsid w:val="00F20086"/>
    <w:rsid w:val="00F22917"/>
    <w:rsid w:val="00F339AD"/>
    <w:rsid w:val="00F351C2"/>
    <w:rsid w:val="00F37376"/>
    <w:rsid w:val="00F43904"/>
    <w:rsid w:val="00F4583D"/>
    <w:rsid w:val="00F54134"/>
    <w:rsid w:val="00F56DCE"/>
    <w:rsid w:val="00F570E0"/>
    <w:rsid w:val="00F6524A"/>
    <w:rsid w:val="00F8042F"/>
    <w:rsid w:val="00F81B3C"/>
    <w:rsid w:val="00F840E5"/>
    <w:rsid w:val="00F86BFC"/>
    <w:rsid w:val="00F96AD1"/>
    <w:rsid w:val="00F97636"/>
    <w:rsid w:val="00FC4CE0"/>
    <w:rsid w:val="00FD3726"/>
    <w:rsid w:val="00FE7BB0"/>
    <w:rsid w:val="00FF06DE"/>
    <w:rsid w:val="00FF2A7F"/>
    <w:rsid w:val="00FF2C15"/>
    <w:rsid w:val="00FF430F"/>
    <w:rsid w:val="00FF57B9"/>
    <w:rsid w:val="00FF7885"/>
    <w:rsid w:val="02EF4363"/>
    <w:rsid w:val="053A5C51"/>
    <w:rsid w:val="08BD692A"/>
    <w:rsid w:val="0B365423"/>
    <w:rsid w:val="0C0F5691"/>
    <w:rsid w:val="0CAB173F"/>
    <w:rsid w:val="0D702D58"/>
    <w:rsid w:val="0E5C4A3C"/>
    <w:rsid w:val="0EBC5CC6"/>
    <w:rsid w:val="0EDC2E8C"/>
    <w:rsid w:val="0FC25001"/>
    <w:rsid w:val="11BD195F"/>
    <w:rsid w:val="12ED3701"/>
    <w:rsid w:val="14361776"/>
    <w:rsid w:val="153F1177"/>
    <w:rsid w:val="16AB42E4"/>
    <w:rsid w:val="17DE73D7"/>
    <w:rsid w:val="17EA1737"/>
    <w:rsid w:val="18FD306E"/>
    <w:rsid w:val="1A342B46"/>
    <w:rsid w:val="1AA25A86"/>
    <w:rsid w:val="1E007545"/>
    <w:rsid w:val="1EFB0672"/>
    <w:rsid w:val="1FF5AE8F"/>
    <w:rsid w:val="2107679C"/>
    <w:rsid w:val="214E17B8"/>
    <w:rsid w:val="22F90BE2"/>
    <w:rsid w:val="24333369"/>
    <w:rsid w:val="27DB6852"/>
    <w:rsid w:val="28A13310"/>
    <w:rsid w:val="294F7845"/>
    <w:rsid w:val="2ABD61AD"/>
    <w:rsid w:val="2B1B40CA"/>
    <w:rsid w:val="2E97673E"/>
    <w:rsid w:val="2EF761FF"/>
    <w:rsid w:val="2FAB16A6"/>
    <w:rsid w:val="2FFDB65C"/>
    <w:rsid w:val="2FFFAF1B"/>
    <w:rsid w:val="3095443C"/>
    <w:rsid w:val="315F2FFA"/>
    <w:rsid w:val="317D5E4F"/>
    <w:rsid w:val="32764F53"/>
    <w:rsid w:val="32E04CFA"/>
    <w:rsid w:val="33EF8903"/>
    <w:rsid w:val="34130371"/>
    <w:rsid w:val="353F7926"/>
    <w:rsid w:val="35623EA5"/>
    <w:rsid w:val="374C88C8"/>
    <w:rsid w:val="38234431"/>
    <w:rsid w:val="387C349D"/>
    <w:rsid w:val="39CC2F4E"/>
    <w:rsid w:val="3AFBB5C1"/>
    <w:rsid w:val="3BDB1BB4"/>
    <w:rsid w:val="3BDB4D8B"/>
    <w:rsid w:val="3C758716"/>
    <w:rsid w:val="3D7FA451"/>
    <w:rsid w:val="3D954604"/>
    <w:rsid w:val="3DDD9719"/>
    <w:rsid w:val="3EA617AD"/>
    <w:rsid w:val="3EE676A3"/>
    <w:rsid w:val="4125397A"/>
    <w:rsid w:val="427E0628"/>
    <w:rsid w:val="42E35327"/>
    <w:rsid w:val="44023A7E"/>
    <w:rsid w:val="455AB993"/>
    <w:rsid w:val="47FE5A13"/>
    <w:rsid w:val="4A9F9C22"/>
    <w:rsid w:val="4B314379"/>
    <w:rsid w:val="4BBDB350"/>
    <w:rsid w:val="4CBE3CAE"/>
    <w:rsid w:val="4D172D16"/>
    <w:rsid w:val="4D4C27E7"/>
    <w:rsid w:val="4E7371E4"/>
    <w:rsid w:val="4F5A56A3"/>
    <w:rsid w:val="50C55F83"/>
    <w:rsid w:val="51C91F4E"/>
    <w:rsid w:val="52A729F4"/>
    <w:rsid w:val="536D509A"/>
    <w:rsid w:val="53EF0555"/>
    <w:rsid w:val="55261521"/>
    <w:rsid w:val="57B2190D"/>
    <w:rsid w:val="59131421"/>
    <w:rsid w:val="59FE612A"/>
    <w:rsid w:val="5A1D61FA"/>
    <w:rsid w:val="5AEB0710"/>
    <w:rsid w:val="5BB78030"/>
    <w:rsid w:val="5BBD11E7"/>
    <w:rsid w:val="5DFDF427"/>
    <w:rsid w:val="5E0A3A08"/>
    <w:rsid w:val="5FAC744D"/>
    <w:rsid w:val="5FFBC32F"/>
    <w:rsid w:val="5FFC03CE"/>
    <w:rsid w:val="606556FD"/>
    <w:rsid w:val="60EC2CE7"/>
    <w:rsid w:val="621C72E5"/>
    <w:rsid w:val="629143BF"/>
    <w:rsid w:val="63031C79"/>
    <w:rsid w:val="64365FB1"/>
    <w:rsid w:val="644321E7"/>
    <w:rsid w:val="657E9E60"/>
    <w:rsid w:val="67FD38EB"/>
    <w:rsid w:val="68281011"/>
    <w:rsid w:val="684E46D6"/>
    <w:rsid w:val="68C85E5E"/>
    <w:rsid w:val="6983523B"/>
    <w:rsid w:val="6AE910C9"/>
    <w:rsid w:val="6B0B1CC0"/>
    <w:rsid w:val="6B7EABCF"/>
    <w:rsid w:val="6BEC8A51"/>
    <w:rsid w:val="6CBB30AB"/>
    <w:rsid w:val="6E6E77EA"/>
    <w:rsid w:val="6E7B39FA"/>
    <w:rsid w:val="6F568989"/>
    <w:rsid w:val="6F63C3BC"/>
    <w:rsid w:val="6F6A3B83"/>
    <w:rsid w:val="6F85A8C3"/>
    <w:rsid w:val="6FF2F64A"/>
    <w:rsid w:val="713D5A46"/>
    <w:rsid w:val="73FF8337"/>
    <w:rsid w:val="753B139A"/>
    <w:rsid w:val="753F80DE"/>
    <w:rsid w:val="75EAA5B9"/>
    <w:rsid w:val="76EE62E8"/>
    <w:rsid w:val="776D4245"/>
    <w:rsid w:val="777DF52D"/>
    <w:rsid w:val="77AE11CF"/>
    <w:rsid w:val="77FCF549"/>
    <w:rsid w:val="78227BB4"/>
    <w:rsid w:val="785F2F63"/>
    <w:rsid w:val="79152252"/>
    <w:rsid w:val="79B91F33"/>
    <w:rsid w:val="7A5B40D4"/>
    <w:rsid w:val="7ACE57A4"/>
    <w:rsid w:val="7B47B8F2"/>
    <w:rsid w:val="7BD00DDF"/>
    <w:rsid w:val="7BFF578F"/>
    <w:rsid w:val="7D37E8AC"/>
    <w:rsid w:val="7D6DDA55"/>
    <w:rsid w:val="7DB3E40B"/>
    <w:rsid w:val="7DBC714C"/>
    <w:rsid w:val="7DE57832"/>
    <w:rsid w:val="7DF6CAD8"/>
    <w:rsid w:val="7DFC450B"/>
    <w:rsid w:val="7E3F2210"/>
    <w:rsid w:val="7EFDBCDB"/>
    <w:rsid w:val="7F1FF6E3"/>
    <w:rsid w:val="7F5E4EA0"/>
    <w:rsid w:val="7F73FACA"/>
    <w:rsid w:val="7F743353"/>
    <w:rsid w:val="7F745690"/>
    <w:rsid w:val="7F7BFEA6"/>
    <w:rsid w:val="7F97E085"/>
    <w:rsid w:val="7FE64C2E"/>
    <w:rsid w:val="7FEF14F3"/>
    <w:rsid w:val="7FEF40BA"/>
    <w:rsid w:val="7FFBEC0E"/>
    <w:rsid w:val="86B59D60"/>
    <w:rsid w:val="97F4AF41"/>
    <w:rsid w:val="ABFD9340"/>
    <w:rsid w:val="AED2D917"/>
    <w:rsid w:val="AF730505"/>
    <w:rsid w:val="BDEFA4B0"/>
    <w:rsid w:val="BE1F1D44"/>
    <w:rsid w:val="BEFFED8D"/>
    <w:rsid w:val="BF8E4D71"/>
    <w:rsid w:val="BF99F9A9"/>
    <w:rsid w:val="BFB6E17B"/>
    <w:rsid w:val="C3CEA572"/>
    <w:rsid w:val="CDBBB13F"/>
    <w:rsid w:val="CDEF03AE"/>
    <w:rsid w:val="CEFB24B7"/>
    <w:rsid w:val="D16FF942"/>
    <w:rsid w:val="DBEF478B"/>
    <w:rsid w:val="DDDF24B3"/>
    <w:rsid w:val="DF3E275A"/>
    <w:rsid w:val="DFFDBE14"/>
    <w:rsid w:val="E4F68187"/>
    <w:rsid w:val="E6775580"/>
    <w:rsid w:val="E7F7C8D7"/>
    <w:rsid w:val="EBFFF413"/>
    <w:rsid w:val="ED3D2BEE"/>
    <w:rsid w:val="ED472898"/>
    <w:rsid w:val="ED677022"/>
    <w:rsid w:val="EEFD28B8"/>
    <w:rsid w:val="EEFF14BC"/>
    <w:rsid w:val="EF2F588A"/>
    <w:rsid w:val="EFF65F70"/>
    <w:rsid w:val="F6BE12C9"/>
    <w:rsid w:val="F6C7EB6D"/>
    <w:rsid w:val="F98BBDCE"/>
    <w:rsid w:val="F9FD9773"/>
    <w:rsid w:val="FAFFC7B7"/>
    <w:rsid w:val="FB7B161B"/>
    <w:rsid w:val="FB7D81BF"/>
    <w:rsid w:val="FB978F15"/>
    <w:rsid w:val="FBAB3173"/>
    <w:rsid w:val="FBC7FB8E"/>
    <w:rsid w:val="FBDBB3B8"/>
    <w:rsid w:val="FBED64F9"/>
    <w:rsid w:val="FD554EBA"/>
    <w:rsid w:val="FDB7CD7D"/>
    <w:rsid w:val="FEDF9487"/>
    <w:rsid w:val="FEF399C9"/>
    <w:rsid w:val="FEF5E05F"/>
    <w:rsid w:val="FEF997E4"/>
    <w:rsid w:val="FEFB85DB"/>
    <w:rsid w:val="FF9085EF"/>
    <w:rsid w:val="FFBF9AA3"/>
    <w:rsid w:val="FFD794C7"/>
    <w:rsid w:val="FFE7C0F2"/>
    <w:rsid w:val="FFE9300E"/>
    <w:rsid w:val="FFF68CE4"/>
    <w:rsid w:val="FFF768BE"/>
    <w:rsid w:val="FFF7B21E"/>
    <w:rsid w:val="FFFDDB64"/>
    <w:rsid w:val="FFFDE818"/>
    <w:rsid w:val="FFFE7B4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lang w:val="en-US" w:eastAsia="zh-CN" w:bidi="ar-SA"/>
    </w:rPr>
  </w:style>
  <w:style w:type="character" w:default="1" w:styleId="10">
    <w:name w:val="Default Paragraph Font"/>
    <w:qFormat/>
    <w:uiPriority w:val="0"/>
  </w:style>
  <w:style w:type="table" w:default="1" w:styleId="9">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eastAsia="Times New Roman" w:cs="Times New Roman"/>
      <w:sz w:val="20"/>
      <w:szCs w:val="20"/>
    </w:rPr>
    <w:tblPr>
      <w:tblCellMar>
        <w:top w:w="0" w:type="dxa"/>
        <w:left w:w="108" w:type="dxa"/>
        <w:bottom w:w="0" w:type="dxa"/>
        <w:right w:w="108" w:type="dxa"/>
      </w:tblCellMar>
    </w:tblPr>
  </w:style>
  <w:style w:type="paragraph" w:customStyle="1" w:styleId="2">
    <w:name w:val="Default"/>
    <w:unhideWhenUsed/>
    <w:qFormat/>
    <w:uiPriority w:val="99"/>
    <w:pPr>
      <w:widowControl w:val="0"/>
      <w:autoSpaceDE w:val="0"/>
      <w:autoSpaceDN w:val="0"/>
      <w:adjustRightInd w:val="0"/>
    </w:pPr>
    <w:rPr>
      <w:rFonts w:hint="eastAsia" w:ascii="方正仿宋简体" w:hAnsi="方正仿宋简体" w:eastAsia="方正仿宋简体" w:cs="Times New Roman"/>
      <w:color w:val="000000"/>
      <w:sz w:val="24"/>
      <w:szCs w:val="22"/>
      <w:lang w:val="en-US" w:eastAsia="zh-CN" w:bidi="ar-SA"/>
    </w:rPr>
  </w:style>
  <w:style w:type="paragraph" w:styleId="3">
    <w:name w:val="Plain Text"/>
    <w:basedOn w:val="1"/>
    <w:link w:val="14"/>
    <w:unhideWhenUsed/>
    <w:qFormat/>
    <w:uiPriority w:val="0"/>
    <w:rPr>
      <w:rFonts w:ascii="宋体" w:hAnsi="Courier New" w:eastAsia="宋体" w:cs="Courier New"/>
      <w:szCs w:val="21"/>
    </w:rPr>
  </w:style>
  <w:style w:type="paragraph" w:styleId="4">
    <w:name w:val="Balloon Text"/>
    <w:basedOn w:val="1"/>
    <w:link w:val="15"/>
    <w:qFormat/>
    <w:uiPriority w:val="0"/>
    <w:rPr>
      <w:sz w:val="18"/>
      <w:szCs w:val="18"/>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link w:val="16"/>
    <w:qFormat/>
    <w:uiPriority w:val="0"/>
    <w:pPr>
      <w:pBdr>
        <w:bottom w:val="single" w:color="auto" w:sz="6" w:space="1"/>
      </w:pBdr>
      <w:tabs>
        <w:tab w:val="center" w:pos="4153"/>
        <w:tab w:val="right" w:pos="8306"/>
      </w:tabs>
      <w:snapToGrid w:val="0"/>
      <w:jc w:val="center"/>
    </w:pPr>
    <w:rPr>
      <w:sz w:val="18"/>
      <w:szCs w:val="18"/>
    </w:rPr>
  </w:style>
  <w:style w:type="paragraph" w:styleId="7">
    <w:name w:val="toc 2"/>
    <w:basedOn w:val="1"/>
    <w:next w:val="1"/>
    <w:qFormat/>
    <w:uiPriority w:val="0"/>
    <w:pPr>
      <w:ind w:left="420" w:leftChars="200"/>
    </w:pPr>
  </w:style>
  <w:style w:type="paragraph" w:styleId="8">
    <w:name w:val="Normal (Web)"/>
    <w:basedOn w:val="1"/>
    <w:qFormat/>
    <w:uiPriority w:val="0"/>
    <w:pPr>
      <w:spacing w:before="100" w:beforeAutospacing="1" w:after="100" w:afterAutospacing="1"/>
      <w:ind w:left="0" w:right="0"/>
      <w:jc w:val="left"/>
    </w:pPr>
    <w:rPr>
      <w:kern w:val="0"/>
      <w:sz w:val="24"/>
      <w:lang w:val="en-US" w:eastAsia="zh-CN" w:bidi="ar"/>
    </w:rPr>
  </w:style>
  <w:style w:type="character" w:styleId="11">
    <w:name w:val="Strong"/>
    <w:qFormat/>
    <w:uiPriority w:val="0"/>
    <w:rPr>
      <w:b/>
    </w:rPr>
  </w:style>
  <w:style w:type="character" w:styleId="12">
    <w:name w:val="page number"/>
    <w:qFormat/>
    <w:uiPriority w:val="0"/>
  </w:style>
  <w:style w:type="character" w:styleId="13">
    <w:name w:val="Hyperlink"/>
    <w:qFormat/>
    <w:uiPriority w:val="0"/>
    <w:rPr>
      <w:color w:val="0000FF"/>
      <w:u w:val="single"/>
    </w:rPr>
  </w:style>
  <w:style w:type="character" w:customStyle="1" w:styleId="14">
    <w:name w:val="纯文本 Char"/>
    <w:link w:val="3"/>
    <w:qFormat/>
    <w:uiPriority w:val="0"/>
    <w:rPr>
      <w:rFonts w:ascii="宋体" w:hAnsi="Courier New" w:cs="Courier New"/>
      <w:kern w:val="2"/>
      <w:sz w:val="21"/>
      <w:szCs w:val="21"/>
    </w:rPr>
  </w:style>
  <w:style w:type="character" w:customStyle="1" w:styleId="15">
    <w:name w:val="批注框文本 Char"/>
    <w:link w:val="4"/>
    <w:qFormat/>
    <w:uiPriority w:val="0"/>
    <w:rPr>
      <w:rFonts w:ascii="Calibri" w:hAnsi="Calibri"/>
      <w:kern w:val="2"/>
      <w:sz w:val="18"/>
      <w:szCs w:val="18"/>
    </w:rPr>
  </w:style>
  <w:style w:type="character" w:customStyle="1" w:styleId="16">
    <w:name w:val="页眉 Char"/>
    <w:link w:val="6"/>
    <w:qFormat/>
    <w:uiPriority w:val="0"/>
    <w:rPr>
      <w:rFonts w:ascii="Calibri" w:hAnsi="Calibri"/>
      <w:kern w:val="2"/>
      <w:sz w:val="18"/>
      <w:szCs w:val="18"/>
    </w:rPr>
  </w:style>
  <w:style w:type="paragraph" w:customStyle="1" w:styleId="17">
    <w:name w:val="正文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8">
    <w:name w:val="正文 New New New New New New"/>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9">
    <w:name w:val=" Char Char Char Char Char Char1 Char"/>
    <w:basedOn w:val="18"/>
    <w:qFormat/>
    <w:uiPriority w:val="0"/>
    <w:pPr>
      <w:widowControl/>
      <w:spacing w:after="160" w:afterLines="0" w:afterAutospacing="0" w:line="240" w:lineRule="exact"/>
      <w:jc w:val="left"/>
    </w:pPr>
  </w:style>
  <w:style w:type="paragraph" w:customStyle="1" w:styleId="20">
    <w:name w:val="Normal (Web)"/>
    <w:basedOn w:val="1"/>
    <w:qFormat/>
    <w:uiPriority w:val="0"/>
    <w:pPr>
      <w:spacing w:before="0" w:beforeLines="0" w:beforeAutospacing="0" w:after="0" w:afterLines="0" w:afterAutospacing="0"/>
      <w:ind w:left="0" w:right="0"/>
      <w:jc w:val="left"/>
    </w:pPr>
    <w:rPr>
      <w:kern w:val="0"/>
      <w:sz w:val="24"/>
      <w:lang w:val="en-US"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Pages>
  <Words>234</Words>
  <Characters>1336</Characters>
  <Lines>11</Lines>
  <Paragraphs>3</Paragraphs>
  <TotalTime>52</TotalTime>
  <ScaleCrop>false</ScaleCrop>
  <LinksUpToDate>false</LinksUpToDate>
  <CharactersWithSpaces>1567</CharactersWithSpaces>
  <Application>WPS Office_11.8.2.10290_F1E327BC-269C-435d-A152-05C5408002CA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2023-03-04T06:37:00Z</dcterms:created>
  <dc:creator>admin</dc:creator>
  <cp:lastModifiedBy>greatwall</cp:lastModifiedBy>
  <cp:lastPrinted>2026-01-11T17:15:00Z</cp:lastPrinted>
  <dcterms:modified xsi:type="dcterms:W3CDTF">2026-02-04T11:17:30Z</dcterms:modified>
  <dc:title>潮州市公立医院全面取消医用耗材加成 调整医疗服务价格实施方案</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2052-11.8.2.10290</vt:lpwstr>
  </property>
  <property fmtid="{D5CDD505-2E9C-101B-9397-08002B2CF9AE}" pid="3" name="ICV">
    <vt:lpwstr>9E2A352AED2A52FA9E488069D61D3CC1_43</vt:lpwstr>
  </property>
</Properties>
</file>