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hint="eastAsia" w:ascii="方正小标宋简体" w:hAnsi="方正小标宋简体" w:eastAsia="方正小标宋简体" w:cs="方正小标宋简体"/>
          <w:b w:val="0"/>
          <w:bCs/>
          <w:w w:val="90"/>
          <w:sz w:val="44"/>
          <w:szCs w:val="44"/>
        </w:rPr>
      </w:pPr>
      <w:r>
        <w:rPr>
          <w:rFonts w:hint="eastAsia" w:ascii="方正小标宋简体" w:hAnsi="方正小标宋简体" w:eastAsia="方正小标宋简体" w:cs="方正小标宋简体"/>
          <w:b w:val="0"/>
          <w:bCs/>
          <w:w w:val="90"/>
          <w:sz w:val="44"/>
          <w:szCs w:val="44"/>
        </w:rPr>
        <w:t>江门市应急管理安全生产行政处罚</w:t>
      </w:r>
    </w:p>
    <w:p>
      <w:pPr>
        <w:spacing w:line="580" w:lineRule="exact"/>
        <w:jc w:val="center"/>
        <w:rPr>
          <w:b w:val="0"/>
          <w:bCs/>
          <w:w w:val="90"/>
          <w:sz w:val="32"/>
          <w:szCs w:val="32"/>
        </w:rPr>
      </w:pPr>
      <w:r>
        <w:rPr>
          <w:rFonts w:hint="eastAsia" w:ascii="方正小标宋简体" w:hAnsi="方正小标宋简体" w:eastAsia="方正小标宋简体" w:cs="方正小标宋简体"/>
          <w:b w:val="0"/>
          <w:bCs/>
          <w:w w:val="90"/>
          <w:sz w:val="44"/>
          <w:szCs w:val="44"/>
        </w:rPr>
        <w:t>自由裁量适用规则（暂行）</w:t>
      </w:r>
    </w:p>
    <w:p>
      <w:pPr>
        <w:spacing w:line="580" w:lineRule="exact"/>
        <w:jc w:val="center"/>
        <w:rPr>
          <w:b/>
          <w:sz w:val="44"/>
          <w:szCs w:val="44"/>
        </w:rPr>
      </w:pPr>
    </w:p>
    <w:p>
      <w:pPr>
        <w:spacing w:line="580" w:lineRule="exact"/>
        <w:ind w:firstLine="640"/>
        <w:rPr>
          <w:rFonts w:ascii="仿宋_GB2312" w:eastAsia="仿宋_GB2312"/>
          <w:b/>
          <w:bCs/>
          <w:sz w:val="32"/>
          <w:szCs w:val="32"/>
        </w:rPr>
      </w:pPr>
      <w:r>
        <w:rPr>
          <w:rFonts w:hint="eastAsia" w:ascii="仿宋_GB2312" w:eastAsia="仿宋_GB2312"/>
          <w:b/>
          <w:bCs/>
          <w:sz w:val="32"/>
          <w:szCs w:val="32"/>
        </w:rPr>
        <w:t>第一条</w:t>
      </w:r>
      <w:r>
        <w:rPr>
          <w:rFonts w:hint="eastAsia" w:ascii="仿宋_GB2312" w:eastAsia="仿宋_GB2312"/>
          <w:sz w:val="32"/>
          <w:szCs w:val="32"/>
        </w:rPr>
        <w:t xml:space="preserve"> 为规范江门市应急管理部门行使安全生产行政处罚自由裁量权，确保依法行政、规范执法，维护公民、法人和其他组织的合法权益，根据《中华人民共和国行政处罚法》《中华人民共和国安全生产法》等有关法律法规及规章，结合我市实际，制定本规则。</w:t>
      </w:r>
    </w:p>
    <w:p>
      <w:pPr>
        <w:snapToGrid w:val="0"/>
        <w:spacing w:line="240" w:lineRule="atLeast"/>
        <w:rPr>
          <w:rFonts w:ascii="楷体" w:hAnsi="楷体" w:eastAsia="楷体"/>
          <w:bCs/>
          <w:i/>
          <w:iCs/>
          <w:strike/>
          <w:color w:val="00B050"/>
          <w:sz w:val="28"/>
          <w:szCs w:val="32"/>
        </w:rPr>
      </w:pPr>
    </w:p>
    <w:p>
      <w:pPr>
        <w:spacing w:line="580" w:lineRule="exact"/>
        <w:ind w:firstLine="640"/>
        <w:rPr>
          <w:rFonts w:ascii="仿宋_GB2312" w:eastAsia="仿宋_GB2312"/>
          <w:sz w:val="32"/>
          <w:szCs w:val="32"/>
        </w:rPr>
      </w:pPr>
      <w:r>
        <w:rPr>
          <w:rFonts w:hint="eastAsia" w:ascii="仿宋_GB2312" w:eastAsia="仿宋_GB2312"/>
          <w:b/>
          <w:bCs/>
          <w:sz w:val="32"/>
          <w:szCs w:val="32"/>
        </w:rPr>
        <w:t>第</w:t>
      </w:r>
      <w:r>
        <w:rPr>
          <w:rFonts w:ascii="仿宋_GB2312" w:eastAsia="仿宋_GB2312"/>
          <w:b/>
          <w:bCs/>
          <w:sz w:val="32"/>
          <w:szCs w:val="32"/>
        </w:rPr>
        <w:t>二</w:t>
      </w:r>
      <w:r>
        <w:rPr>
          <w:rFonts w:hint="eastAsia" w:ascii="仿宋_GB2312" w:eastAsia="仿宋_GB2312"/>
          <w:b/>
          <w:bCs/>
          <w:sz w:val="32"/>
          <w:szCs w:val="32"/>
        </w:rPr>
        <w:t>条</w:t>
      </w:r>
      <w:r>
        <w:rPr>
          <w:rFonts w:hint="eastAsia" w:ascii="仿宋_GB2312" w:eastAsia="仿宋_GB2312"/>
          <w:sz w:val="32"/>
          <w:szCs w:val="32"/>
        </w:rPr>
        <w:t xml:space="preserve"> 江门市应急管理局负责指导、监督县（市、区）级应急管理部门安全生产行政处罚自由裁量权工作。</w:t>
      </w:r>
    </w:p>
    <w:p>
      <w:pPr>
        <w:snapToGrid w:val="0"/>
        <w:spacing w:line="240" w:lineRule="atLeast"/>
        <w:ind w:firstLine="641"/>
        <w:rPr>
          <w:rFonts w:ascii="楷体" w:hAnsi="楷体" w:eastAsia="楷体"/>
          <w:bCs/>
          <w:color w:val="00B050"/>
          <w:sz w:val="28"/>
          <w:szCs w:val="32"/>
        </w:rPr>
      </w:pPr>
    </w:p>
    <w:p>
      <w:pPr>
        <w:spacing w:line="580" w:lineRule="exact"/>
        <w:ind w:firstLine="640"/>
        <w:rPr>
          <w:rFonts w:ascii="仿宋_GB2312" w:eastAsia="仿宋_GB2312"/>
          <w:sz w:val="32"/>
          <w:szCs w:val="32"/>
        </w:rPr>
      </w:pPr>
      <w:r>
        <w:rPr>
          <w:rFonts w:hint="eastAsia" w:ascii="仿宋_GB2312" w:eastAsia="仿宋_GB2312"/>
          <w:b/>
          <w:bCs/>
          <w:color w:val="000000"/>
          <w:sz w:val="32"/>
          <w:szCs w:val="32"/>
        </w:rPr>
        <w:t>第</w:t>
      </w:r>
      <w:r>
        <w:rPr>
          <w:rFonts w:ascii="仿宋_GB2312" w:eastAsia="仿宋_GB2312"/>
          <w:b/>
          <w:bCs/>
          <w:color w:val="000000"/>
          <w:sz w:val="32"/>
          <w:szCs w:val="32"/>
        </w:rPr>
        <w:t>三</w:t>
      </w:r>
      <w:r>
        <w:rPr>
          <w:rFonts w:hint="eastAsia" w:ascii="仿宋_GB2312" w:eastAsia="仿宋_GB2312"/>
          <w:b/>
          <w:bCs/>
          <w:color w:val="000000"/>
          <w:sz w:val="32"/>
          <w:szCs w:val="32"/>
        </w:rPr>
        <w:t>条</w:t>
      </w:r>
      <w:r>
        <w:rPr>
          <w:rFonts w:hint="eastAsia" w:ascii="仿宋_GB2312" w:eastAsia="仿宋_GB2312"/>
          <w:b/>
          <w:bCs/>
          <w:sz w:val="32"/>
          <w:szCs w:val="32"/>
        </w:rPr>
        <w:t xml:space="preserve"> </w:t>
      </w:r>
      <w:r>
        <w:rPr>
          <w:rFonts w:hint="eastAsia" w:ascii="仿宋_GB2312" w:eastAsia="仿宋_GB2312"/>
          <w:sz w:val="32"/>
          <w:szCs w:val="32"/>
        </w:rPr>
        <w:t>行使行政处罚自由裁量权，应当坚持合法合理、过罚相当、程序正当、处罚与教育相结合的原则。应当以事实为依据，综合考虑违法行为的事实、性质、情节、认知态度和社会危害程度，以及本地区经济社会发展状况等因素，应当平等对待公民、法人和其他组织，对类别、性质、情节相同或者相近事项的处理结果应当基本一致。</w:t>
      </w:r>
    </w:p>
    <w:p>
      <w:pPr>
        <w:snapToGrid w:val="0"/>
        <w:spacing w:line="240" w:lineRule="atLeast"/>
        <w:ind w:firstLine="641"/>
        <w:rPr>
          <w:rFonts w:ascii="楷体" w:hAnsi="楷体" w:eastAsia="楷体"/>
          <w:bCs/>
          <w:color w:val="00B050"/>
          <w:sz w:val="28"/>
          <w:szCs w:val="32"/>
        </w:rPr>
      </w:pPr>
    </w:p>
    <w:p>
      <w:pPr>
        <w:spacing w:line="580" w:lineRule="exact"/>
        <w:ind w:firstLine="640"/>
        <w:rPr>
          <w:rFonts w:eastAsia="仿宋_GB2312"/>
          <w:sz w:val="32"/>
          <w:szCs w:val="32"/>
        </w:rPr>
      </w:pPr>
      <w:r>
        <w:rPr>
          <w:rFonts w:hint="eastAsia" w:ascii="仿宋_GB2312" w:eastAsia="仿宋_GB2312"/>
          <w:b/>
          <w:bCs/>
          <w:color w:val="000000"/>
          <w:sz w:val="32"/>
          <w:szCs w:val="32"/>
        </w:rPr>
        <w:t>第</w:t>
      </w:r>
      <w:r>
        <w:rPr>
          <w:rFonts w:ascii="仿宋_GB2312" w:eastAsia="仿宋_GB2312"/>
          <w:b/>
          <w:bCs/>
          <w:color w:val="000000"/>
          <w:sz w:val="32"/>
          <w:szCs w:val="32"/>
        </w:rPr>
        <w:t>四</w:t>
      </w:r>
      <w:r>
        <w:rPr>
          <w:rFonts w:hint="eastAsia" w:ascii="仿宋_GB2312" w:eastAsia="仿宋_GB2312"/>
          <w:b/>
          <w:bCs/>
          <w:color w:val="000000"/>
          <w:sz w:val="32"/>
          <w:szCs w:val="32"/>
        </w:rPr>
        <w:t>条</w:t>
      </w:r>
      <w:r>
        <w:rPr>
          <w:rFonts w:hint="eastAsia" w:eastAsia="黑体"/>
          <w:sz w:val="32"/>
          <w:szCs w:val="32"/>
        </w:rPr>
        <w:t xml:space="preserve"> </w:t>
      </w:r>
      <w:r>
        <w:rPr>
          <w:rFonts w:hint="eastAsia" w:eastAsia="仿宋_GB2312"/>
          <w:sz w:val="32"/>
          <w:szCs w:val="32"/>
        </w:rPr>
        <w:t>有</w:t>
      </w:r>
      <w:r>
        <w:rPr>
          <w:rFonts w:eastAsia="仿宋_GB2312"/>
          <w:sz w:val="32"/>
          <w:szCs w:val="32"/>
        </w:rPr>
        <w:t>下列情形之一的</w:t>
      </w:r>
      <w:r>
        <w:rPr>
          <w:rFonts w:hint="eastAsia" w:ascii="仿宋_GB2312" w:eastAsia="仿宋_GB2312"/>
          <w:sz w:val="32"/>
          <w:szCs w:val="32"/>
        </w:rPr>
        <w:t>，应当或可以不</w:t>
      </w:r>
      <w:r>
        <w:rPr>
          <w:rFonts w:hint="eastAsia" w:eastAsia="仿宋_GB2312"/>
          <w:sz w:val="32"/>
          <w:szCs w:val="32"/>
        </w:rPr>
        <w:t>予</w:t>
      </w:r>
      <w:r>
        <w:rPr>
          <w:rFonts w:eastAsia="仿宋_GB2312"/>
          <w:sz w:val="32"/>
          <w:szCs w:val="32"/>
        </w:rPr>
        <w:t>处罚：</w:t>
      </w:r>
    </w:p>
    <w:p>
      <w:pPr>
        <w:spacing w:line="580" w:lineRule="exact"/>
        <w:ind w:firstLine="640"/>
        <w:rPr>
          <w:rFonts w:ascii="仿宋_GB2312" w:eastAsia="仿宋_GB2312"/>
          <w:sz w:val="32"/>
          <w:szCs w:val="32"/>
        </w:rPr>
      </w:pPr>
      <w:r>
        <w:rPr>
          <w:rFonts w:hint="eastAsia" w:ascii="仿宋_GB2312" w:eastAsia="仿宋_GB2312"/>
          <w:sz w:val="32"/>
          <w:szCs w:val="32"/>
        </w:rPr>
        <w:t>（</w:t>
      </w:r>
      <w:r>
        <w:rPr>
          <w:rFonts w:ascii="仿宋_GB2312" w:eastAsia="仿宋_GB2312"/>
          <w:sz w:val="32"/>
          <w:szCs w:val="32"/>
        </w:rPr>
        <w:t>一</w:t>
      </w:r>
      <w:r>
        <w:rPr>
          <w:rFonts w:hint="eastAsia" w:ascii="仿宋_GB2312" w:eastAsia="仿宋_GB2312"/>
          <w:sz w:val="32"/>
          <w:szCs w:val="32"/>
        </w:rPr>
        <w:t>）安全生产违法行为轻微并及时改正，没有造成危害后果的；</w:t>
      </w:r>
    </w:p>
    <w:p>
      <w:pPr>
        <w:spacing w:line="580" w:lineRule="exact"/>
        <w:ind w:firstLine="640"/>
        <w:rPr>
          <w:rFonts w:ascii="仿宋_GB2312" w:eastAsia="仿宋_GB2312"/>
          <w:sz w:val="32"/>
          <w:szCs w:val="32"/>
        </w:rPr>
      </w:pPr>
      <w:r>
        <w:rPr>
          <w:rFonts w:ascii="仿宋_GB2312" w:eastAsia="仿宋_GB2312"/>
          <w:sz w:val="32"/>
          <w:szCs w:val="32"/>
        </w:rPr>
        <w:t>（二）</w:t>
      </w:r>
      <w:r>
        <w:rPr>
          <w:rFonts w:hint="eastAsia" w:ascii="仿宋_GB2312" w:eastAsia="仿宋_GB2312"/>
          <w:sz w:val="32"/>
          <w:szCs w:val="32"/>
        </w:rPr>
        <w:t>初次违法且危害后果轻微并及时改正的，</w:t>
      </w:r>
      <w:r>
        <w:rPr>
          <w:rFonts w:hint="eastAsia" w:ascii="仿宋_GB2312" w:hAnsi="Calibri" w:eastAsia="仿宋_GB2312"/>
          <w:sz w:val="32"/>
          <w:szCs w:val="32"/>
        </w:rPr>
        <w:t>可以</w:t>
      </w:r>
      <w:r>
        <w:rPr>
          <w:rFonts w:hint="eastAsia" w:ascii="仿宋_GB2312" w:eastAsia="仿宋_GB2312"/>
          <w:sz w:val="32"/>
          <w:szCs w:val="32"/>
        </w:rPr>
        <w:t>不予行政处罚（初次违法的认定由安全生产行政执法信息系统执法检查记录为准）。</w:t>
      </w:r>
    </w:p>
    <w:p>
      <w:pPr>
        <w:widowControl/>
        <w:shd w:val="clear" w:color="auto" w:fill="FFFFFF"/>
        <w:spacing w:line="580" w:lineRule="exact"/>
        <w:ind w:firstLine="640" w:firstLineChars="200"/>
        <w:jc w:val="left"/>
        <w:rPr>
          <w:rFonts w:ascii="仿宋_GB2312" w:eastAsia="仿宋_GB2312"/>
          <w:kern w:val="0"/>
          <w:sz w:val="32"/>
          <w:szCs w:val="32"/>
        </w:rPr>
      </w:pPr>
      <w:r>
        <w:rPr>
          <w:rFonts w:hint="eastAsia" w:ascii="仿宋_GB2312" w:eastAsia="仿宋_GB2312"/>
          <w:sz w:val="32"/>
          <w:szCs w:val="32"/>
        </w:rPr>
        <w:t>（</w:t>
      </w:r>
      <w:r>
        <w:rPr>
          <w:rFonts w:ascii="仿宋_GB2312" w:eastAsia="仿宋_GB2312"/>
          <w:sz w:val="32"/>
          <w:szCs w:val="32"/>
        </w:rPr>
        <w:t>三</w:t>
      </w:r>
      <w:r>
        <w:rPr>
          <w:rFonts w:hint="eastAsia" w:ascii="仿宋_GB2312" w:eastAsia="仿宋_GB2312"/>
          <w:sz w:val="32"/>
          <w:szCs w:val="32"/>
        </w:rPr>
        <w:t>）</w:t>
      </w:r>
      <w:r>
        <w:rPr>
          <w:rFonts w:hint="eastAsia" w:ascii="仿宋_GB2312" w:eastAsia="仿宋_GB2312"/>
          <w:kern w:val="0"/>
          <w:sz w:val="32"/>
          <w:szCs w:val="32"/>
        </w:rPr>
        <w:t>不满14周岁的未成年人实施安全生产违法行为的；</w:t>
      </w:r>
    </w:p>
    <w:p>
      <w:pPr>
        <w:widowControl/>
        <w:shd w:val="clear" w:color="auto" w:fill="FFFFFF"/>
        <w:spacing w:line="580" w:lineRule="exact"/>
        <w:ind w:firstLine="640" w:firstLineChars="200"/>
        <w:jc w:val="left"/>
        <w:rPr>
          <w:rFonts w:ascii="仿宋_GB2312" w:eastAsia="仿宋_GB2312"/>
          <w:kern w:val="0"/>
          <w:sz w:val="32"/>
          <w:szCs w:val="32"/>
        </w:rPr>
      </w:pPr>
      <w:r>
        <w:rPr>
          <w:rFonts w:hint="eastAsia" w:ascii="仿宋_GB2312" w:eastAsia="仿宋_GB2312"/>
          <w:kern w:val="0"/>
          <w:sz w:val="32"/>
          <w:szCs w:val="32"/>
        </w:rPr>
        <w:t>（</w:t>
      </w:r>
      <w:r>
        <w:rPr>
          <w:rFonts w:ascii="仿宋_GB2312" w:eastAsia="仿宋_GB2312"/>
          <w:kern w:val="0"/>
          <w:sz w:val="32"/>
          <w:szCs w:val="32"/>
        </w:rPr>
        <w:t>四</w:t>
      </w:r>
      <w:r>
        <w:rPr>
          <w:rFonts w:hint="eastAsia" w:ascii="仿宋_GB2312" w:eastAsia="仿宋_GB2312"/>
          <w:kern w:val="0"/>
          <w:sz w:val="32"/>
          <w:szCs w:val="32"/>
        </w:rPr>
        <w:t>）精神病人、智力残疾人在不能辨认或者不能控制自己行为时有违法行为的（间歇性精神病人在精神正常时有违法行为的除外）；</w:t>
      </w:r>
    </w:p>
    <w:p>
      <w:pPr>
        <w:spacing w:line="580" w:lineRule="exact"/>
        <w:ind w:firstLine="640"/>
        <w:rPr>
          <w:rFonts w:ascii="仿宋_GB2312" w:eastAsia="仿宋_GB2312"/>
          <w:sz w:val="32"/>
          <w:szCs w:val="32"/>
        </w:rPr>
      </w:pPr>
      <w:r>
        <w:rPr>
          <w:rFonts w:hint="eastAsia" w:ascii="仿宋_GB2312" w:eastAsia="仿宋_GB2312"/>
          <w:sz w:val="32"/>
          <w:szCs w:val="32"/>
        </w:rPr>
        <w:t>（</w:t>
      </w:r>
      <w:r>
        <w:rPr>
          <w:rFonts w:ascii="仿宋_GB2312" w:eastAsia="仿宋_GB2312"/>
          <w:sz w:val="32"/>
          <w:szCs w:val="32"/>
        </w:rPr>
        <w:t>五</w:t>
      </w:r>
      <w:r>
        <w:rPr>
          <w:rFonts w:hint="eastAsia" w:ascii="仿宋_GB2312" w:eastAsia="仿宋_GB2312"/>
          <w:sz w:val="32"/>
          <w:szCs w:val="32"/>
        </w:rPr>
        <w:t>）当事人有证据足以证明没有主观过错的，不予行政处罚，法律、行政法规另有规定的，从其规定；</w:t>
      </w:r>
    </w:p>
    <w:p>
      <w:pPr>
        <w:spacing w:line="580" w:lineRule="exact"/>
        <w:ind w:firstLine="640"/>
        <w:rPr>
          <w:rFonts w:ascii="仿宋_GB2312" w:eastAsia="仿宋_GB2312"/>
          <w:sz w:val="32"/>
          <w:szCs w:val="32"/>
        </w:rPr>
      </w:pPr>
      <w:r>
        <w:rPr>
          <w:rFonts w:hint="eastAsia" w:ascii="仿宋_GB2312" w:eastAsia="仿宋_GB2312"/>
          <w:sz w:val="32"/>
          <w:szCs w:val="32"/>
        </w:rPr>
        <w:t>（</w:t>
      </w:r>
      <w:r>
        <w:rPr>
          <w:rFonts w:ascii="仿宋_GB2312" w:eastAsia="仿宋_GB2312"/>
          <w:sz w:val="32"/>
          <w:szCs w:val="32"/>
        </w:rPr>
        <w:t>六</w:t>
      </w:r>
      <w:r>
        <w:rPr>
          <w:rFonts w:hint="eastAsia" w:ascii="仿宋_GB2312" w:eastAsia="仿宋_GB2312"/>
          <w:sz w:val="32"/>
          <w:szCs w:val="32"/>
        </w:rPr>
        <w:t>）法律、法规、规章规定不予处罚的其他情形。</w:t>
      </w:r>
    </w:p>
    <w:p>
      <w:pPr>
        <w:spacing w:line="580" w:lineRule="exact"/>
        <w:ind w:firstLine="640"/>
        <w:rPr>
          <w:rFonts w:ascii="仿宋_GB2312" w:eastAsia="仿宋_GB2312"/>
          <w:sz w:val="32"/>
          <w:szCs w:val="32"/>
        </w:rPr>
      </w:pPr>
      <w:r>
        <w:rPr>
          <w:rFonts w:hint="eastAsia" w:ascii="仿宋_GB2312" w:eastAsia="仿宋_GB2312"/>
          <w:sz w:val="32"/>
          <w:szCs w:val="32"/>
        </w:rPr>
        <w:t>安全生产违法行为在两年内未被发现的，不再给予行政处罚；涉及公民生命健康安全、金融安全且有危害后果的，上述期限延长至五年。法律另有规定的除外。</w:t>
      </w:r>
    </w:p>
    <w:p>
      <w:pPr>
        <w:spacing w:line="580" w:lineRule="exact"/>
        <w:ind w:firstLine="640"/>
        <w:rPr>
          <w:rFonts w:ascii="仿宋_GB2312" w:eastAsia="仿宋_GB2312"/>
          <w:kern w:val="0"/>
          <w:sz w:val="32"/>
          <w:szCs w:val="32"/>
        </w:rPr>
      </w:pPr>
      <w:r>
        <w:rPr>
          <w:rFonts w:hint="eastAsia" w:ascii="仿宋_GB2312" w:eastAsia="仿宋_GB2312"/>
          <w:sz w:val="32"/>
          <w:szCs w:val="32"/>
        </w:rPr>
        <w:t>前款规定的</w:t>
      </w:r>
      <w:r>
        <w:rPr>
          <w:rFonts w:hint="eastAsia" w:ascii="仿宋_GB2312" w:eastAsia="仿宋_GB2312"/>
          <w:kern w:val="0"/>
          <w:sz w:val="32"/>
          <w:szCs w:val="32"/>
        </w:rPr>
        <w:t>期限，从违法行为发生之日起计算，违法行为有连续或者继续状态的，从行为终了之日起计算。</w:t>
      </w:r>
    </w:p>
    <w:p>
      <w:pPr>
        <w:widowControl/>
        <w:shd w:val="clear" w:color="auto" w:fill="FFFFFF"/>
        <w:spacing w:line="580" w:lineRule="exact"/>
        <w:ind w:firstLine="640" w:firstLineChars="200"/>
        <w:jc w:val="left"/>
        <w:rPr>
          <w:rFonts w:ascii="仿宋_GB2312" w:eastAsia="仿宋_GB2312"/>
          <w:sz w:val="32"/>
          <w:szCs w:val="32"/>
        </w:rPr>
      </w:pPr>
      <w:r>
        <w:rPr>
          <w:rFonts w:hint="eastAsia" w:ascii="仿宋_GB2312" w:eastAsia="仿宋_GB2312"/>
          <w:kern w:val="0"/>
          <w:sz w:val="32"/>
          <w:szCs w:val="32"/>
        </w:rPr>
        <w:t>对当事人的违法行为依法不予行政</w:t>
      </w:r>
      <w:r>
        <w:rPr>
          <w:rFonts w:hint="eastAsia" w:ascii="仿宋_GB2312" w:eastAsia="仿宋_GB2312"/>
          <w:sz w:val="32"/>
          <w:szCs w:val="32"/>
        </w:rPr>
        <w:t>处罚的，作出不予处罚决定部门应当对当事人进行教育。</w:t>
      </w:r>
    </w:p>
    <w:p>
      <w:pPr>
        <w:snapToGrid w:val="0"/>
        <w:spacing w:line="240" w:lineRule="atLeast"/>
        <w:ind w:firstLine="641"/>
        <w:rPr>
          <w:rFonts w:ascii="楷体" w:hAnsi="楷体" w:eastAsia="楷体"/>
          <w:i/>
          <w:iCs/>
          <w:strike/>
          <w:color w:val="00B050"/>
          <w:sz w:val="28"/>
          <w:szCs w:val="32"/>
          <w:u w:val="single"/>
        </w:rPr>
      </w:pPr>
    </w:p>
    <w:p>
      <w:pPr>
        <w:snapToGrid w:val="0"/>
        <w:spacing w:line="240" w:lineRule="atLeast"/>
        <w:ind w:firstLine="641"/>
        <w:rPr>
          <w:rFonts w:ascii="楷体_GB2312" w:eastAsia="楷体_GB2312"/>
          <w:b/>
          <w:sz w:val="32"/>
          <w:szCs w:val="32"/>
        </w:rPr>
      </w:pPr>
      <w:r>
        <w:rPr>
          <w:rFonts w:hint="eastAsia" w:ascii="仿宋_GB2312" w:eastAsia="仿宋_GB2312"/>
          <w:b/>
          <w:bCs/>
          <w:color w:val="000000"/>
          <w:sz w:val="32"/>
          <w:szCs w:val="32"/>
        </w:rPr>
        <w:t>第</w:t>
      </w:r>
      <w:r>
        <w:rPr>
          <w:rFonts w:ascii="仿宋_GB2312" w:eastAsia="仿宋_GB2312"/>
          <w:b/>
          <w:bCs/>
          <w:color w:val="000000"/>
          <w:sz w:val="32"/>
          <w:szCs w:val="32"/>
        </w:rPr>
        <w:t>五</w:t>
      </w:r>
      <w:r>
        <w:rPr>
          <w:rFonts w:hint="eastAsia" w:ascii="仿宋_GB2312" w:eastAsia="仿宋_GB2312"/>
          <w:b/>
          <w:bCs/>
          <w:color w:val="000000"/>
          <w:sz w:val="32"/>
          <w:szCs w:val="32"/>
        </w:rPr>
        <w:t>条</w:t>
      </w:r>
      <w:r>
        <w:rPr>
          <w:rFonts w:hint="eastAsia" w:ascii="仿宋_GB2312" w:eastAsia="仿宋_GB2312"/>
          <w:sz w:val="32"/>
          <w:szCs w:val="32"/>
        </w:rPr>
        <w:t xml:space="preserve"> 当事人有下列情形之一的，应当从轻或减轻处罚：</w:t>
      </w:r>
    </w:p>
    <w:p>
      <w:pPr>
        <w:widowControl/>
        <w:shd w:val="clear" w:color="auto" w:fill="FFFFFF"/>
        <w:spacing w:line="580" w:lineRule="exact"/>
        <w:ind w:firstLine="640" w:firstLineChars="200"/>
        <w:jc w:val="left"/>
        <w:rPr>
          <w:rFonts w:ascii="仿宋_GB2312" w:eastAsia="仿宋_GB2312"/>
          <w:kern w:val="0"/>
          <w:sz w:val="32"/>
          <w:szCs w:val="32"/>
        </w:rPr>
      </w:pPr>
      <w:r>
        <w:rPr>
          <w:rFonts w:hint="eastAsia" w:ascii="仿宋_GB2312" w:eastAsia="仿宋_GB2312"/>
          <w:kern w:val="0"/>
          <w:sz w:val="32"/>
          <w:szCs w:val="32"/>
        </w:rPr>
        <w:t>（一）已满14周岁不满18周岁的未成年人实施安全生产违法行为的；</w:t>
      </w:r>
    </w:p>
    <w:p>
      <w:pPr>
        <w:widowControl/>
        <w:shd w:val="clear" w:color="auto" w:fill="FFFFFF"/>
        <w:spacing w:line="580" w:lineRule="exact"/>
        <w:ind w:firstLine="640" w:firstLineChars="200"/>
        <w:jc w:val="left"/>
        <w:rPr>
          <w:rFonts w:ascii="仿宋_GB2312" w:eastAsia="仿宋_GB2312"/>
          <w:kern w:val="0"/>
          <w:sz w:val="32"/>
          <w:szCs w:val="32"/>
        </w:rPr>
      </w:pPr>
      <w:r>
        <w:rPr>
          <w:rFonts w:hint="eastAsia" w:ascii="仿宋_GB2312" w:eastAsia="仿宋_GB2312"/>
          <w:kern w:val="0"/>
          <w:sz w:val="32"/>
          <w:szCs w:val="32"/>
        </w:rPr>
        <w:t>（二）主动消除或者减轻违法行为或者事故危害后果的；</w:t>
      </w:r>
    </w:p>
    <w:p>
      <w:pPr>
        <w:widowControl/>
        <w:shd w:val="clear" w:color="auto" w:fill="FFFFFF"/>
        <w:spacing w:line="580" w:lineRule="exact"/>
        <w:ind w:firstLine="640" w:firstLineChars="200"/>
        <w:jc w:val="left"/>
        <w:rPr>
          <w:rFonts w:ascii="仿宋_GB2312" w:eastAsia="仿宋_GB2312"/>
          <w:kern w:val="0"/>
          <w:sz w:val="32"/>
          <w:szCs w:val="32"/>
        </w:rPr>
      </w:pPr>
      <w:r>
        <w:rPr>
          <w:rFonts w:hint="eastAsia" w:ascii="仿宋_GB2312" w:eastAsia="仿宋_GB2312"/>
          <w:kern w:val="0"/>
          <w:sz w:val="32"/>
          <w:szCs w:val="32"/>
        </w:rPr>
        <w:t>（三）受他人胁迫或者诱骗实施违法行为的；</w:t>
      </w:r>
    </w:p>
    <w:p>
      <w:pPr>
        <w:widowControl/>
        <w:shd w:val="clear" w:color="auto" w:fill="FFFFFF"/>
        <w:spacing w:line="580" w:lineRule="exact"/>
        <w:ind w:firstLine="640" w:firstLineChars="200"/>
        <w:jc w:val="left"/>
        <w:rPr>
          <w:rFonts w:ascii="仿宋_GB2312" w:eastAsia="仿宋_GB2312"/>
          <w:kern w:val="0"/>
          <w:sz w:val="32"/>
          <w:szCs w:val="32"/>
        </w:rPr>
      </w:pPr>
      <w:r>
        <w:rPr>
          <w:rFonts w:hint="eastAsia" w:ascii="仿宋_GB2312" w:eastAsia="仿宋_GB2312"/>
          <w:kern w:val="0"/>
          <w:sz w:val="32"/>
          <w:szCs w:val="32"/>
        </w:rPr>
        <w:t>（四）配合应急管理部门查处违法行为或者进行事故调查有立功表现的；</w:t>
      </w:r>
    </w:p>
    <w:p>
      <w:pPr>
        <w:widowControl/>
        <w:shd w:val="clear" w:color="auto" w:fill="FFFFFF"/>
        <w:spacing w:line="580" w:lineRule="exact"/>
        <w:ind w:firstLine="640" w:firstLineChars="200"/>
        <w:jc w:val="left"/>
        <w:rPr>
          <w:rFonts w:ascii="仿宋_GB2312" w:eastAsia="仿宋_GB2312"/>
          <w:kern w:val="0"/>
          <w:sz w:val="32"/>
          <w:szCs w:val="32"/>
        </w:rPr>
      </w:pPr>
      <w:r>
        <w:rPr>
          <w:rFonts w:hint="eastAsia" w:ascii="仿宋_GB2312" w:eastAsia="仿宋_GB2312"/>
          <w:kern w:val="0"/>
          <w:sz w:val="32"/>
          <w:szCs w:val="32"/>
        </w:rPr>
        <w:t>（五）主动供述应急管理部门及其他行政机关尚未掌握的违法行为的；</w:t>
      </w:r>
    </w:p>
    <w:p>
      <w:pPr>
        <w:widowControl/>
        <w:shd w:val="clear" w:color="auto" w:fill="FFFFFF"/>
        <w:spacing w:line="580" w:lineRule="exact"/>
        <w:ind w:firstLine="640" w:firstLineChars="200"/>
        <w:jc w:val="left"/>
        <w:rPr>
          <w:rFonts w:ascii="仿宋_GB2312" w:eastAsia="仿宋_GB2312"/>
          <w:kern w:val="0"/>
          <w:sz w:val="32"/>
          <w:szCs w:val="32"/>
        </w:rPr>
      </w:pPr>
      <w:r>
        <w:rPr>
          <w:rFonts w:hint="eastAsia" w:ascii="仿宋_GB2312" w:eastAsia="仿宋_GB2312"/>
          <w:sz w:val="32"/>
          <w:szCs w:val="32"/>
        </w:rPr>
        <w:t>（六）</w:t>
      </w:r>
      <w:r>
        <w:rPr>
          <w:rFonts w:hint="eastAsia" w:ascii="仿宋_GB2312" w:eastAsia="仿宋_GB2312"/>
          <w:kern w:val="0"/>
          <w:sz w:val="32"/>
          <w:szCs w:val="32"/>
        </w:rPr>
        <w:t>法律、法规、规章规定的其他应当从轻或者减轻行政处罚的。</w:t>
      </w:r>
    </w:p>
    <w:p>
      <w:pPr>
        <w:widowControl/>
        <w:shd w:val="clear" w:color="auto" w:fill="FFFFFF"/>
        <w:spacing w:line="580" w:lineRule="exact"/>
        <w:ind w:firstLine="640" w:firstLineChars="200"/>
        <w:jc w:val="left"/>
        <w:rPr>
          <w:rFonts w:ascii="仿宋_GB2312" w:eastAsia="仿宋_GB2312"/>
          <w:kern w:val="0"/>
          <w:sz w:val="32"/>
          <w:szCs w:val="32"/>
        </w:rPr>
      </w:pPr>
      <w:r>
        <w:rPr>
          <w:rFonts w:hint="eastAsia" w:ascii="仿宋_GB2312" w:eastAsia="仿宋_GB2312"/>
          <w:kern w:val="0"/>
          <w:sz w:val="32"/>
          <w:szCs w:val="32"/>
        </w:rPr>
        <w:t>本条第（四）项所称的立功表现</w:t>
      </w:r>
      <w:r>
        <w:rPr>
          <w:rFonts w:hint="eastAsia" w:ascii="仿宋_GB2312" w:eastAsia="仿宋_GB2312"/>
          <w:sz w:val="32"/>
          <w:szCs w:val="32"/>
        </w:rPr>
        <w:t>，包括</w:t>
      </w:r>
      <w:r>
        <w:rPr>
          <w:rFonts w:hint="eastAsia" w:ascii="仿宋_GB2312" w:eastAsia="仿宋_GB2312"/>
          <w:kern w:val="0"/>
          <w:sz w:val="32"/>
          <w:szCs w:val="32"/>
        </w:rPr>
        <w:t>当事人有揭发他人安全生产违法行为，并经查证属实；或者提供查处其他安全生产违法行为的重要线索，并经查证属实；或者阻止他人实施安全生产违法行为；或者协助司法机关抓捕其他违法犯罪嫌疑人</w:t>
      </w:r>
      <w:r>
        <w:rPr>
          <w:rFonts w:hint="eastAsia" w:ascii="仿宋_GB2312" w:eastAsia="仿宋_GB2312"/>
          <w:sz w:val="32"/>
          <w:szCs w:val="32"/>
        </w:rPr>
        <w:t>的行</w:t>
      </w:r>
      <w:r>
        <w:rPr>
          <w:rFonts w:hint="eastAsia" w:ascii="仿宋_GB2312" w:eastAsia="仿宋_GB2312"/>
          <w:kern w:val="0"/>
          <w:sz w:val="32"/>
          <w:szCs w:val="32"/>
        </w:rPr>
        <w:t>为。</w:t>
      </w:r>
    </w:p>
    <w:p>
      <w:pPr>
        <w:widowControl/>
        <w:shd w:val="clear" w:color="auto" w:fill="FFFFFF"/>
        <w:snapToGrid w:val="0"/>
        <w:spacing w:line="240" w:lineRule="atLeast"/>
        <w:ind w:firstLine="562" w:firstLineChars="200"/>
        <w:jc w:val="left"/>
        <w:rPr>
          <w:rFonts w:ascii="楷体" w:hAnsi="楷体"/>
          <w:b/>
          <w:color w:val="00B050"/>
          <w:sz w:val="28"/>
          <w:szCs w:val="32"/>
        </w:rPr>
      </w:pPr>
    </w:p>
    <w:p>
      <w:pPr>
        <w:widowControl/>
        <w:shd w:val="clear" w:color="auto" w:fill="FFFFFF"/>
        <w:spacing w:line="580" w:lineRule="exact"/>
        <w:ind w:firstLine="642" w:firstLineChars="200"/>
        <w:jc w:val="left"/>
        <w:rPr>
          <w:rFonts w:ascii="仿宋_GB2312" w:eastAsia="仿宋_GB2312"/>
          <w:kern w:val="0"/>
          <w:sz w:val="32"/>
          <w:szCs w:val="32"/>
        </w:rPr>
      </w:pPr>
      <w:r>
        <w:rPr>
          <w:rFonts w:hint="eastAsia" w:ascii="仿宋_GB2312" w:eastAsia="仿宋_GB2312"/>
          <w:b/>
          <w:bCs/>
          <w:color w:val="000000"/>
          <w:kern w:val="0"/>
          <w:sz w:val="32"/>
          <w:szCs w:val="32"/>
        </w:rPr>
        <w:t>第</w:t>
      </w:r>
      <w:r>
        <w:rPr>
          <w:rFonts w:ascii="仿宋_GB2312" w:eastAsia="仿宋_GB2312"/>
          <w:b/>
          <w:bCs/>
          <w:color w:val="000000"/>
          <w:kern w:val="0"/>
          <w:sz w:val="32"/>
          <w:szCs w:val="32"/>
        </w:rPr>
        <w:t>六</w:t>
      </w:r>
      <w:r>
        <w:rPr>
          <w:rFonts w:hint="eastAsia" w:ascii="仿宋_GB2312" w:eastAsia="仿宋_GB2312"/>
          <w:b/>
          <w:bCs/>
          <w:color w:val="000000"/>
          <w:kern w:val="0"/>
          <w:sz w:val="32"/>
          <w:szCs w:val="32"/>
        </w:rPr>
        <w:t>条</w:t>
      </w:r>
      <w:r>
        <w:rPr>
          <w:rFonts w:hint="eastAsia" w:ascii="仿宋_GB2312" w:eastAsia="仿宋_GB2312"/>
          <w:kern w:val="0"/>
          <w:sz w:val="32"/>
          <w:szCs w:val="32"/>
        </w:rPr>
        <w:t xml:space="preserve"> 尚未完全丧失辨认或者控制自己行为能力的精神病人、智力残疾人有违法行为的，可以从轻或者减轻行政处罚。</w:t>
      </w:r>
    </w:p>
    <w:p>
      <w:pPr>
        <w:widowControl/>
        <w:shd w:val="clear" w:color="auto" w:fill="FFFFFF"/>
        <w:snapToGrid w:val="0"/>
        <w:spacing w:line="240" w:lineRule="atLeast"/>
        <w:ind w:firstLine="562" w:firstLineChars="200"/>
        <w:jc w:val="left"/>
        <w:rPr>
          <w:rFonts w:ascii="楷体" w:hAnsi="楷体" w:eastAsia="楷体"/>
          <w:b/>
          <w:color w:val="00B050"/>
          <w:sz w:val="28"/>
          <w:szCs w:val="32"/>
          <w:u w:val="single"/>
        </w:rPr>
      </w:pPr>
    </w:p>
    <w:p>
      <w:pPr>
        <w:spacing w:line="580" w:lineRule="exact"/>
        <w:ind w:firstLine="640"/>
        <w:rPr>
          <w:rFonts w:ascii="仿宋_GB2312" w:eastAsia="仿宋_GB2312"/>
          <w:sz w:val="32"/>
          <w:szCs w:val="32"/>
        </w:rPr>
      </w:pPr>
      <w:r>
        <w:rPr>
          <w:rFonts w:hint="eastAsia" w:ascii="仿宋_GB2312" w:eastAsia="仿宋_GB2312"/>
          <w:b/>
          <w:bCs/>
          <w:sz w:val="32"/>
          <w:szCs w:val="32"/>
        </w:rPr>
        <w:t>第</w:t>
      </w:r>
      <w:r>
        <w:rPr>
          <w:rFonts w:ascii="仿宋_GB2312" w:eastAsia="仿宋_GB2312"/>
          <w:b/>
          <w:bCs/>
          <w:sz w:val="32"/>
          <w:szCs w:val="32"/>
        </w:rPr>
        <w:t>七</w:t>
      </w:r>
      <w:r>
        <w:rPr>
          <w:rFonts w:hint="eastAsia" w:ascii="仿宋_GB2312" w:eastAsia="仿宋_GB2312"/>
          <w:b/>
          <w:bCs/>
          <w:sz w:val="32"/>
          <w:szCs w:val="32"/>
        </w:rPr>
        <w:t>条</w:t>
      </w:r>
      <w:r>
        <w:rPr>
          <w:rFonts w:hint="eastAsia" w:ascii="楷体_GB2312" w:eastAsia="楷体_GB2312"/>
          <w:b/>
          <w:sz w:val="32"/>
          <w:szCs w:val="32"/>
        </w:rPr>
        <w:t xml:space="preserve"> </w:t>
      </w:r>
      <w:r>
        <w:rPr>
          <w:rFonts w:hint="eastAsia" w:ascii="仿宋_GB2312" w:eastAsia="仿宋_GB2312"/>
          <w:sz w:val="32"/>
          <w:szCs w:val="32"/>
        </w:rPr>
        <w:t>存在从轻处罚情节的，</w:t>
      </w:r>
      <w:r>
        <w:rPr>
          <w:rFonts w:ascii="仿宋_GB2312" w:eastAsia="仿宋_GB2312"/>
          <w:sz w:val="32"/>
          <w:szCs w:val="32"/>
        </w:rPr>
        <w:t>所处罚款金额</w:t>
      </w:r>
      <w:r>
        <w:rPr>
          <w:rFonts w:hint="eastAsia" w:ascii="仿宋_GB2312" w:eastAsia="仿宋_GB2312"/>
          <w:sz w:val="32"/>
          <w:szCs w:val="32"/>
        </w:rPr>
        <w:t>应当在法定处罚幅度的中档以下确定行政处罚标准，标准确定如下：</w:t>
      </w:r>
    </w:p>
    <w:p>
      <w:pPr>
        <w:spacing w:line="580" w:lineRule="exact"/>
        <w:ind w:firstLine="640"/>
        <w:rPr>
          <w:rFonts w:ascii="仿宋_GB2312" w:eastAsia="仿宋_GB2312"/>
          <w:sz w:val="32"/>
          <w:szCs w:val="32"/>
        </w:rPr>
      </w:pPr>
      <w:r>
        <w:rPr>
          <w:rFonts w:hint="eastAsia" w:ascii="仿宋_GB2312" w:eastAsia="仿宋_GB2312"/>
          <w:sz w:val="32"/>
          <w:szCs w:val="32"/>
        </w:rPr>
        <w:t>（一）自由裁量标准范围内的罚款为一定金额的倍数的，应当低于相应实施标准的中间倍数；</w:t>
      </w:r>
    </w:p>
    <w:p>
      <w:pPr>
        <w:spacing w:line="580" w:lineRule="exact"/>
        <w:ind w:firstLine="640"/>
        <w:rPr>
          <w:rFonts w:ascii="仿宋_GB2312" w:eastAsia="仿宋_GB2312"/>
          <w:sz w:val="32"/>
          <w:szCs w:val="32"/>
        </w:rPr>
      </w:pPr>
      <w:r>
        <w:rPr>
          <w:rFonts w:hint="eastAsia" w:ascii="仿宋_GB2312" w:eastAsia="仿宋_GB2312"/>
          <w:sz w:val="32"/>
          <w:szCs w:val="32"/>
        </w:rPr>
        <w:t>（二）自由裁量标准范围内的罚款为一定幅度的数额的，应当低于相应实施标准的最高罚款数额与最低罚款数额的平均值；</w:t>
      </w:r>
    </w:p>
    <w:p>
      <w:pPr>
        <w:spacing w:line="580" w:lineRule="exact"/>
        <w:ind w:firstLine="640"/>
        <w:rPr>
          <w:rFonts w:ascii="仿宋_GB2312" w:eastAsia="仿宋_GB2312"/>
          <w:sz w:val="32"/>
          <w:szCs w:val="32"/>
        </w:rPr>
      </w:pPr>
      <w:r>
        <w:rPr>
          <w:rFonts w:hint="eastAsia" w:ascii="仿宋_GB2312" w:eastAsia="仿宋_GB2312"/>
          <w:sz w:val="32"/>
          <w:szCs w:val="32"/>
        </w:rPr>
        <w:t>（三）自由裁量标准范围内只规定最高罚款数额没有规定最低罚款数额的，应当低于相应实施标准的最高罚款数额的50%。</w:t>
      </w:r>
    </w:p>
    <w:p>
      <w:pPr>
        <w:spacing w:line="580" w:lineRule="exact"/>
        <w:ind w:firstLine="640"/>
        <w:rPr>
          <w:rFonts w:ascii="仿宋_GB2312" w:eastAsia="仿宋_GB2312"/>
          <w:sz w:val="32"/>
          <w:szCs w:val="32"/>
        </w:rPr>
      </w:pPr>
      <w:r>
        <w:rPr>
          <w:rFonts w:hint="eastAsia" w:ascii="仿宋_GB2312" w:eastAsia="仿宋_GB2312"/>
          <w:sz w:val="32"/>
          <w:szCs w:val="32"/>
        </w:rPr>
        <w:t>当事人存在减轻处罚情节的，应当适用法定行政处罚最低限度以下的处罚幅度，包括应当并处时不并处、在法定最低罚款限值以下确定罚款数额等情形。</w:t>
      </w:r>
    </w:p>
    <w:p>
      <w:pPr>
        <w:widowControl/>
        <w:shd w:val="clear" w:color="auto" w:fill="FFFFFF"/>
        <w:snapToGrid w:val="0"/>
        <w:spacing w:line="240" w:lineRule="atLeast"/>
        <w:ind w:firstLine="560" w:firstLineChars="200"/>
        <w:jc w:val="left"/>
        <w:rPr>
          <w:rFonts w:ascii="仿宋_GB2312" w:eastAsia="仿宋_GB2312"/>
          <w:bCs/>
          <w:i/>
          <w:iCs/>
          <w:strike/>
          <w:kern w:val="0"/>
          <w:sz w:val="28"/>
          <w:szCs w:val="32"/>
        </w:rPr>
      </w:pPr>
    </w:p>
    <w:p>
      <w:pPr>
        <w:spacing w:line="580" w:lineRule="exact"/>
        <w:ind w:firstLine="640"/>
        <w:rPr>
          <w:rFonts w:ascii="楷体_GB2312" w:eastAsia="楷体_GB2312"/>
          <w:b/>
          <w:sz w:val="32"/>
          <w:szCs w:val="32"/>
        </w:rPr>
      </w:pPr>
      <w:r>
        <w:rPr>
          <w:rFonts w:hint="eastAsia" w:ascii="仿宋_GB2312" w:eastAsia="仿宋_GB2312"/>
          <w:b/>
          <w:bCs/>
          <w:color w:val="000000"/>
          <w:sz w:val="32"/>
          <w:szCs w:val="32"/>
        </w:rPr>
        <w:t>第</w:t>
      </w:r>
      <w:r>
        <w:rPr>
          <w:rFonts w:ascii="仿宋_GB2312" w:eastAsia="仿宋_GB2312"/>
          <w:b/>
          <w:bCs/>
          <w:color w:val="000000"/>
          <w:sz w:val="32"/>
          <w:szCs w:val="32"/>
        </w:rPr>
        <w:t>八</w:t>
      </w:r>
      <w:r>
        <w:rPr>
          <w:rFonts w:hint="eastAsia" w:ascii="仿宋_GB2312" w:eastAsia="仿宋_GB2312"/>
          <w:b/>
          <w:bCs/>
          <w:color w:val="000000"/>
          <w:sz w:val="32"/>
          <w:szCs w:val="32"/>
        </w:rPr>
        <w:t>条</w:t>
      </w:r>
      <w:r>
        <w:rPr>
          <w:rFonts w:hint="eastAsia" w:ascii="仿宋_GB2312" w:eastAsia="仿宋_GB2312"/>
          <w:sz w:val="32"/>
          <w:szCs w:val="32"/>
        </w:rPr>
        <w:t xml:space="preserve"> 当事人有下列情形之一的，应当从重处罚：</w:t>
      </w:r>
    </w:p>
    <w:p>
      <w:pPr>
        <w:spacing w:line="580" w:lineRule="exact"/>
        <w:ind w:firstLine="640"/>
        <w:rPr>
          <w:rFonts w:ascii="仿宋_GB2312" w:eastAsia="仿宋_GB2312"/>
          <w:sz w:val="32"/>
          <w:szCs w:val="32"/>
        </w:rPr>
      </w:pPr>
      <w:r>
        <w:rPr>
          <w:rFonts w:hint="eastAsia" w:ascii="仿宋_GB2312" w:eastAsia="仿宋_GB2312"/>
          <w:sz w:val="32"/>
          <w:szCs w:val="32"/>
        </w:rPr>
        <w:t>（一）因同一违法行为受过刑事处罚，或者一年内因同一种违法行为受过行政处罚的；</w:t>
      </w:r>
    </w:p>
    <w:p>
      <w:pPr>
        <w:spacing w:line="580" w:lineRule="exact"/>
        <w:ind w:firstLine="640"/>
        <w:rPr>
          <w:rFonts w:ascii="仿宋_GB2312" w:eastAsia="仿宋_GB2312"/>
          <w:sz w:val="32"/>
          <w:szCs w:val="32"/>
        </w:rPr>
      </w:pPr>
      <w:r>
        <w:rPr>
          <w:rFonts w:hint="eastAsia" w:ascii="仿宋_GB2312" w:eastAsia="仿宋_GB2312"/>
          <w:sz w:val="32"/>
          <w:szCs w:val="32"/>
        </w:rPr>
        <w:t>（二）拒绝、阻碍或者以暴力方式威胁行政执法人员执行职务的；</w:t>
      </w:r>
    </w:p>
    <w:p>
      <w:pPr>
        <w:spacing w:line="580" w:lineRule="exact"/>
        <w:ind w:firstLine="640"/>
        <w:rPr>
          <w:rFonts w:ascii="仿宋_GB2312" w:eastAsia="仿宋_GB2312"/>
          <w:sz w:val="32"/>
          <w:szCs w:val="32"/>
        </w:rPr>
      </w:pPr>
      <w:r>
        <w:rPr>
          <w:rFonts w:hint="eastAsia" w:ascii="仿宋_GB2312" w:eastAsia="仿宋_GB2312"/>
          <w:sz w:val="32"/>
          <w:szCs w:val="32"/>
        </w:rPr>
        <w:t>（三）伪造、隐匿、毁灭证据的；</w:t>
      </w:r>
    </w:p>
    <w:p>
      <w:pPr>
        <w:spacing w:line="580" w:lineRule="exact"/>
        <w:ind w:firstLine="640"/>
        <w:rPr>
          <w:rFonts w:ascii="仿宋_GB2312" w:eastAsia="仿宋_GB2312"/>
          <w:sz w:val="32"/>
          <w:szCs w:val="32"/>
        </w:rPr>
      </w:pPr>
      <w:r>
        <w:rPr>
          <w:rFonts w:hint="eastAsia" w:ascii="仿宋_GB2312" w:eastAsia="仿宋_GB2312"/>
          <w:sz w:val="32"/>
          <w:szCs w:val="32"/>
        </w:rPr>
        <w:t>（四）对举报人、证人和行政执法人员打击报复的；</w:t>
      </w:r>
    </w:p>
    <w:p>
      <w:pPr>
        <w:spacing w:line="580" w:lineRule="exact"/>
        <w:ind w:firstLine="640"/>
        <w:rPr>
          <w:rFonts w:ascii="仿宋_GB2312" w:eastAsia="仿宋_GB2312"/>
          <w:sz w:val="32"/>
          <w:szCs w:val="32"/>
        </w:rPr>
      </w:pPr>
      <w:r>
        <w:rPr>
          <w:rFonts w:hint="eastAsia" w:ascii="仿宋_GB2312" w:eastAsia="仿宋_GB2312"/>
          <w:sz w:val="32"/>
          <w:szCs w:val="32"/>
        </w:rPr>
        <w:t>（五）法律、法规、规章规定其他应当从重处罚的。</w:t>
      </w:r>
    </w:p>
    <w:p>
      <w:pPr>
        <w:snapToGrid w:val="0"/>
        <w:spacing w:line="240" w:lineRule="atLeast"/>
        <w:ind w:firstLine="641"/>
        <w:rPr>
          <w:rFonts w:ascii="楷体" w:hAnsi="楷体" w:eastAsia="楷体"/>
          <w:bCs/>
          <w:color w:val="00B050"/>
          <w:sz w:val="28"/>
          <w:szCs w:val="32"/>
        </w:rPr>
      </w:pPr>
    </w:p>
    <w:p>
      <w:pPr>
        <w:spacing w:line="580" w:lineRule="exact"/>
        <w:ind w:firstLine="640"/>
        <w:rPr>
          <w:rFonts w:ascii="仿宋_GB2312" w:eastAsia="仿宋_GB2312"/>
          <w:sz w:val="32"/>
          <w:szCs w:val="32"/>
        </w:rPr>
      </w:pPr>
      <w:r>
        <w:rPr>
          <w:rFonts w:hint="eastAsia" w:ascii="仿宋_GB2312" w:eastAsia="仿宋_GB2312"/>
          <w:b/>
          <w:bCs/>
          <w:sz w:val="32"/>
          <w:szCs w:val="32"/>
        </w:rPr>
        <w:t>第</w:t>
      </w:r>
      <w:r>
        <w:rPr>
          <w:rFonts w:ascii="仿宋_GB2312" w:eastAsia="仿宋_GB2312"/>
          <w:b/>
          <w:bCs/>
          <w:sz w:val="32"/>
          <w:szCs w:val="32"/>
        </w:rPr>
        <w:t>九</w:t>
      </w:r>
      <w:r>
        <w:rPr>
          <w:rFonts w:hint="eastAsia" w:ascii="仿宋_GB2312" w:eastAsia="仿宋_GB2312"/>
          <w:b/>
          <w:bCs/>
          <w:sz w:val="32"/>
          <w:szCs w:val="32"/>
        </w:rPr>
        <w:t>条</w:t>
      </w:r>
      <w:r>
        <w:rPr>
          <w:rFonts w:hint="eastAsia" w:ascii="仿宋_GB2312" w:eastAsia="仿宋_GB2312"/>
          <w:sz w:val="32"/>
          <w:szCs w:val="32"/>
        </w:rPr>
        <w:t xml:space="preserve"> 有从重处罚情节的，</w:t>
      </w:r>
      <w:r>
        <w:rPr>
          <w:rFonts w:ascii="仿宋_GB2312" w:eastAsia="仿宋_GB2312"/>
          <w:sz w:val="32"/>
          <w:szCs w:val="32"/>
        </w:rPr>
        <w:t>所处罚款金额</w:t>
      </w:r>
      <w:r>
        <w:rPr>
          <w:rFonts w:hint="eastAsia" w:ascii="仿宋_GB2312" w:eastAsia="仿宋_GB2312"/>
          <w:sz w:val="32"/>
          <w:szCs w:val="32"/>
        </w:rPr>
        <w:t>应当在法定</w:t>
      </w:r>
      <w:r>
        <w:rPr>
          <w:rFonts w:ascii="仿宋_GB2312" w:eastAsia="仿宋_GB2312"/>
          <w:sz w:val="32"/>
          <w:szCs w:val="32"/>
        </w:rPr>
        <w:t>处罚幅度</w:t>
      </w:r>
      <w:r>
        <w:rPr>
          <w:rFonts w:hint="eastAsia" w:ascii="仿宋_GB2312" w:eastAsia="仿宋_GB2312"/>
          <w:sz w:val="32"/>
          <w:szCs w:val="32"/>
        </w:rPr>
        <w:t>内选择较高或者最高幅度确定处罚标准，标准确定如下：</w:t>
      </w:r>
    </w:p>
    <w:p>
      <w:pPr>
        <w:spacing w:line="580" w:lineRule="exact"/>
        <w:ind w:firstLine="640"/>
        <w:rPr>
          <w:rFonts w:ascii="仿宋_GB2312" w:eastAsia="仿宋_GB2312"/>
          <w:sz w:val="32"/>
          <w:szCs w:val="32"/>
        </w:rPr>
      </w:pPr>
      <w:r>
        <w:rPr>
          <w:rFonts w:hint="eastAsia" w:ascii="仿宋_GB2312" w:eastAsia="仿宋_GB2312"/>
          <w:sz w:val="32"/>
          <w:szCs w:val="32"/>
        </w:rPr>
        <w:t>（一）自由裁量标准范围内的罚款为一定金额的倍数的，</w:t>
      </w:r>
      <w:r>
        <w:rPr>
          <w:rFonts w:ascii="仿宋_GB2312" w:eastAsia="仿宋_GB2312"/>
          <w:sz w:val="32"/>
          <w:szCs w:val="32"/>
        </w:rPr>
        <w:t>应高</w:t>
      </w:r>
      <w:r>
        <w:rPr>
          <w:rFonts w:hint="eastAsia" w:ascii="仿宋_GB2312" w:eastAsia="仿宋_GB2312"/>
          <w:sz w:val="32"/>
          <w:szCs w:val="32"/>
        </w:rPr>
        <w:t>于相应实施标准的中间倍数；</w:t>
      </w:r>
    </w:p>
    <w:p>
      <w:pPr>
        <w:spacing w:line="580" w:lineRule="exact"/>
        <w:ind w:firstLine="640"/>
        <w:rPr>
          <w:rFonts w:ascii="仿宋_GB2312" w:eastAsia="仿宋_GB2312"/>
          <w:sz w:val="32"/>
          <w:szCs w:val="32"/>
        </w:rPr>
      </w:pPr>
      <w:r>
        <w:rPr>
          <w:rFonts w:hint="eastAsia" w:ascii="仿宋_GB2312" w:eastAsia="仿宋_GB2312"/>
          <w:sz w:val="32"/>
          <w:szCs w:val="32"/>
        </w:rPr>
        <w:t>（二）自由裁量标准范围内的罚款为一定幅度的数额的，</w:t>
      </w:r>
      <w:r>
        <w:rPr>
          <w:rFonts w:ascii="仿宋_GB2312" w:eastAsia="仿宋_GB2312"/>
          <w:sz w:val="32"/>
          <w:szCs w:val="32"/>
        </w:rPr>
        <w:t>应高</w:t>
      </w:r>
      <w:r>
        <w:rPr>
          <w:rFonts w:hint="eastAsia" w:ascii="仿宋_GB2312" w:eastAsia="仿宋_GB2312"/>
          <w:sz w:val="32"/>
          <w:szCs w:val="32"/>
        </w:rPr>
        <w:t>于相应实施标准的最高罚款数额与最低罚款数额的平均值；</w:t>
      </w:r>
    </w:p>
    <w:p>
      <w:pPr>
        <w:spacing w:line="580" w:lineRule="exact"/>
        <w:ind w:firstLine="640"/>
        <w:rPr>
          <w:rFonts w:ascii="仿宋_GB2312" w:eastAsia="仿宋_GB2312"/>
          <w:sz w:val="32"/>
          <w:szCs w:val="32"/>
        </w:rPr>
      </w:pPr>
      <w:r>
        <w:rPr>
          <w:rFonts w:hint="eastAsia" w:ascii="仿宋_GB2312" w:eastAsia="仿宋_GB2312"/>
          <w:sz w:val="32"/>
          <w:szCs w:val="32"/>
        </w:rPr>
        <w:t>（三）自由裁量标准范围内只规定最高罚款数额没有规定最低罚款数额的，</w:t>
      </w:r>
      <w:r>
        <w:rPr>
          <w:rFonts w:ascii="仿宋_GB2312" w:eastAsia="仿宋_GB2312"/>
          <w:sz w:val="32"/>
          <w:szCs w:val="32"/>
        </w:rPr>
        <w:t>应高</w:t>
      </w:r>
      <w:r>
        <w:rPr>
          <w:rFonts w:hint="eastAsia" w:ascii="仿宋_GB2312" w:eastAsia="仿宋_GB2312"/>
          <w:sz w:val="32"/>
          <w:szCs w:val="32"/>
        </w:rPr>
        <w:t>于相应实施标准的最高罚款数额的50%。</w:t>
      </w:r>
    </w:p>
    <w:p>
      <w:pPr>
        <w:widowControl/>
        <w:shd w:val="clear" w:color="auto" w:fill="FFFFFF"/>
        <w:spacing w:line="580" w:lineRule="exact"/>
        <w:ind w:firstLine="642" w:firstLineChars="200"/>
        <w:jc w:val="left"/>
        <w:rPr>
          <w:rFonts w:ascii="仿宋_GB2312" w:eastAsia="仿宋_GB2312"/>
          <w:b/>
          <w:bCs/>
          <w:color w:val="FF0000"/>
          <w:kern w:val="0"/>
          <w:sz w:val="32"/>
          <w:szCs w:val="32"/>
        </w:rPr>
      </w:pPr>
    </w:p>
    <w:p>
      <w:pPr>
        <w:widowControl/>
        <w:shd w:val="clear" w:color="auto" w:fill="FFFFFF"/>
        <w:spacing w:line="580" w:lineRule="exact"/>
        <w:ind w:firstLine="642" w:firstLineChars="200"/>
        <w:jc w:val="left"/>
        <w:rPr>
          <w:rFonts w:ascii="仿宋_GB2312" w:eastAsia="仿宋_GB2312"/>
          <w:kern w:val="0"/>
          <w:sz w:val="32"/>
          <w:szCs w:val="32"/>
        </w:rPr>
      </w:pPr>
      <w:r>
        <w:rPr>
          <w:rFonts w:hint="eastAsia" w:ascii="仿宋_GB2312" w:eastAsia="仿宋_GB2312"/>
          <w:b/>
          <w:bCs/>
          <w:color w:val="000000"/>
          <w:kern w:val="0"/>
          <w:sz w:val="32"/>
          <w:szCs w:val="32"/>
        </w:rPr>
        <w:t>第十条</w:t>
      </w:r>
      <w:r>
        <w:rPr>
          <w:rFonts w:hint="eastAsia" w:ascii="仿宋_GB2312" w:eastAsia="仿宋_GB2312"/>
          <w:kern w:val="0"/>
          <w:sz w:val="32"/>
          <w:szCs w:val="32"/>
        </w:rPr>
        <w:t xml:space="preserve"> 对当事人的同一个违法行为，不得给予两次以上罚款的行政处罚。同一个违法行为违反多个法律规定应当给予罚款处罚的，按照罚款数额高的规定处罚。</w:t>
      </w:r>
    </w:p>
    <w:p>
      <w:pPr>
        <w:widowControl/>
        <w:shd w:val="clear" w:color="auto" w:fill="FFFFFF"/>
        <w:spacing w:line="580" w:lineRule="exact"/>
        <w:ind w:firstLine="640" w:firstLineChars="200"/>
        <w:jc w:val="left"/>
        <w:rPr>
          <w:rFonts w:ascii="仿宋_GB2312" w:eastAsia="仿宋_GB2312"/>
          <w:kern w:val="0"/>
          <w:sz w:val="32"/>
          <w:szCs w:val="32"/>
        </w:rPr>
      </w:pPr>
      <w:r>
        <w:rPr>
          <w:rFonts w:hint="eastAsia" w:ascii="仿宋_GB2312" w:eastAsia="仿宋_GB2312"/>
          <w:kern w:val="0"/>
          <w:sz w:val="32"/>
          <w:szCs w:val="32"/>
        </w:rPr>
        <w:t>对法律、法规、规章规定可以处以罚款的，当事人首次违法并按期整改违法行为、消除事故隐患的，可以不予罚款。</w:t>
      </w:r>
    </w:p>
    <w:p>
      <w:pPr>
        <w:widowControl/>
        <w:shd w:val="clear" w:color="auto" w:fill="FFFFFF"/>
        <w:snapToGrid w:val="0"/>
        <w:spacing w:line="240" w:lineRule="atLeast"/>
        <w:ind w:firstLine="560" w:firstLineChars="200"/>
        <w:jc w:val="left"/>
        <w:rPr>
          <w:rFonts w:ascii="仿宋_GB2312" w:eastAsia="仿宋_GB2312"/>
          <w:bCs/>
          <w:color w:val="00B050"/>
          <w:kern w:val="0"/>
          <w:sz w:val="28"/>
          <w:szCs w:val="32"/>
        </w:rPr>
      </w:pPr>
    </w:p>
    <w:p>
      <w:pPr>
        <w:widowControl/>
        <w:shd w:val="clear" w:color="auto" w:fill="FFFFFF"/>
        <w:spacing w:line="580" w:lineRule="exact"/>
        <w:ind w:firstLine="642" w:firstLineChars="200"/>
        <w:jc w:val="left"/>
        <w:rPr>
          <w:rFonts w:ascii="仿宋_GB2312" w:eastAsia="仿宋_GB2312"/>
          <w:color w:val="000000"/>
          <w:kern w:val="0"/>
          <w:sz w:val="32"/>
          <w:szCs w:val="32"/>
        </w:rPr>
      </w:pPr>
      <w:r>
        <w:rPr>
          <w:rFonts w:hint="eastAsia" w:ascii="仿宋_GB2312" w:eastAsia="仿宋_GB2312"/>
          <w:b/>
          <w:bCs/>
          <w:color w:val="000000"/>
          <w:kern w:val="0"/>
          <w:sz w:val="32"/>
          <w:szCs w:val="32"/>
        </w:rPr>
        <w:t>第十</w:t>
      </w:r>
      <w:r>
        <w:rPr>
          <w:rFonts w:ascii="仿宋_GB2312" w:eastAsia="仿宋_GB2312"/>
          <w:b/>
          <w:bCs/>
          <w:color w:val="000000"/>
          <w:kern w:val="0"/>
          <w:sz w:val="32"/>
          <w:szCs w:val="32"/>
        </w:rPr>
        <w:t>一</w:t>
      </w:r>
      <w:r>
        <w:rPr>
          <w:rFonts w:hint="eastAsia" w:ascii="仿宋_GB2312" w:eastAsia="仿宋_GB2312"/>
          <w:b/>
          <w:bCs/>
          <w:color w:val="000000"/>
          <w:kern w:val="0"/>
          <w:sz w:val="32"/>
          <w:szCs w:val="32"/>
        </w:rPr>
        <w:t>条</w:t>
      </w:r>
      <w:r>
        <w:rPr>
          <w:rFonts w:hint="eastAsia" w:ascii="仿宋_GB2312" w:eastAsia="仿宋_GB2312"/>
          <w:color w:val="000000"/>
          <w:kern w:val="0"/>
          <w:sz w:val="32"/>
          <w:szCs w:val="32"/>
        </w:rPr>
        <w:t xml:space="preserve"> 当事人违反不同的法律规定，或者违反同一条款的不同违法情形，有两个以上应当给予行政处罚的违法行为的，适用不同的法律规定或者同一法律条款规定的不同违法情形，按照有关规定分别裁量，合并处罚。</w:t>
      </w:r>
    </w:p>
    <w:p>
      <w:pPr>
        <w:widowControl/>
        <w:shd w:val="clear" w:color="auto" w:fill="FFFFFF"/>
        <w:snapToGrid w:val="0"/>
        <w:spacing w:line="240" w:lineRule="atLeast"/>
        <w:ind w:firstLine="560" w:firstLineChars="200"/>
        <w:jc w:val="left"/>
        <w:rPr>
          <w:rFonts w:ascii="楷体" w:hAnsi="楷体" w:eastAsia="楷体"/>
          <w:bCs/>
          <w:color w:val="00B050"/>
          <w:sz w:val="28"/>
          <w:szCs w:val="32"/>
        </w:rPr>
      </w:pPr>
    </w:p>
    <w:p>
      <w:pPr>
        <w:spacing w:line="580" w:lineRule="exact"/>
        <w:ind w:firstLine="640"/>
        <w:rPr>
          <w:rFonts w:ascii="仿宋_GB2312" w:eastAsia="仿宋_GB2312"/>
          <w:sz w:val="32"/>
          <w:szCs w:val="32"/>
        </w:rPr>
      </w:pPr>
      <w:r>
        <w:rPr>
          <w:rFonts w:hint="eastAsia" w:ascii="仿宋_GB2312" w:eastAsia="仿宋_GB2312"/>
          <w:b/>
          <w:bCs/>
          <w:color w:val="000000"/>
          <w:kern w:val="0"/>
          <w:sz w:val="32"/>
          <w:szCs w:val="32"/>
        </w:rPr>
        <w:t>第</w:t>
      </w:r>
      <w:r>
        <w:rPr>
          <w:rFonts w:ascii="仿宋_GB2312" w:eastAsia="仿宋_GB2312"/>
          <w:b/>
          <w:bCs/>
          <w:color w:val="000000"/>
          <w:kern w:val="0"/>
          <w:sz w:val="32"/>
          <w:szCs w:val="32"/>
        </w:rPr>
        <w:t>十二</w:t>
      </w:r>
      <w:r>
        <w:rPr>
          <w:rFonts w:hint="eastAsia" w:ascii="仿宋_GB2312" w:eastAsia="仿宋_GB2312"/>
          <w:b/>
          <w:bCs/>
          <w:color w:val="000000"/>
          <w:kern w:val="0"/>
          <w:sz w:val="32"/>
          <w:szCs w:val="32"/>
        </w:rPr>
        <w:t>条</w:t>
      </w:r>
      <w:r>
        <w:rPr>
          <w:rFonts w:hint="eastAsia" w:ascii="仿宋_GB2312" w:eastAsia="仿宋_GB2312"/>
          <w:kern w:val="0"/>
          <w:sz w:val="32"/>
          <w:szCs w:val="32"/>
        </w:rPr>
        <w:t xml:space="preserve"> 除已按规定适用上级轻微违法不予处罚事项清单外，根据本《规则</w:t>
      </w:r>
      <w:r>
        <w:rPr>
          <w:rFonts w:hint="eastAsia" w:ascii="仿宋_GB2312" w:eastAsia="仿宋_GB2312"/>
          <w:sz w:val="32"/>
          <w:szCs w:val="32"/>
        </w:rPr>
        <w:t>》第四条第一款第（一）项规定对有关违法行为作出不予处罚决定的，应当经本部门负责人集体讨论决定。</w:t>
      </w:r>
    </w:p>
    <w:p>
      <w:pPr>
        <w:spacing w:line="580" w:lineRule="exact"/>
        <w:ind w:firstLine="640"/>
        <w:rPr>
          <w:rFonts w:ascii="仿宋_GB2312" w:eastAsia="仿宋_GB2312"/>
          <w:sz w:val="32"/>
          <w:szCs w:val="32"/>
        </w:rPr>
      </w:pPr>
      <w:r>
        <w:rPr>
          <w:rFonts w:hint="eastAsia" w:ascii="仿宋_GB2312" w:eastAsia="仿宋_GB2312"/>
          <w:sz w:val="32"/>
          <w:szCs w:val="32"/>
        </w:rPr>
        <w:t>对当事人作出减轻处罚决定的，应当经本部门负责人集体讨论决定。</w:t>
      </w:r>
    </w:p>
    <w:p>
      <w:pPr>
        <w:spacing w:line="580" w:lineRule="exact"/>
        <w:ind w:firstLine="640"/>
        <w:rPr>
          <w:rFonts w:ascii="仿宋_GB2312" w:eastAsia="仿宋_GB2312"/>
          <w:sz w:val="32"/>
          <w:szCs w:val="32"/>
        </w:rPr>
      </w:pPr>
    </w:p>
    <w:p>
      <w:pPr>
        <w:widowControl/>
        <w:shd w:val="clear" w:color="auto" w:fill="FFFFFF"/>
        <w:spacing w:line="580" w:lineRule="exact"/>
        <w:ind w:firstLine="642" w:firstLineChars="200"/>
        <w:jc w:val="left"/>
        <w:rPr>
          <w:rFonts w:ascii="仿宋_GB2312" w:eastAsia="仿宋_GB2312"/>
          <w:kern w:val="0"/>
          <w:sz w:val="32"/>
          <w:szCs w:val="32"/>
        </w:rPr>
      </w:pPr>
      <w:r>
        <w:rPr>
          <w:rFonts w:hint="eastAsia" w:ascii="仿宋_GB2312" w:eastAsia="仿宋_GB2312"/>
          <w:b/>
          <w:bCs/>
          <w:kern w:val="0"/>
          <w:sz w:val="32"/>
          <w:szCs w:val="32"/>
        </w:rPr>
        <w:t>第十</w:t>
      </w:r>
      <w:r>
        <w:rPr>
          <w:rFonts w:ascii="仿宋_GB2312" w:eastAsia="仿宋_GB2312"/>
          <w:b/>
          <w:bCs/>
          <w:kern w:val="0"/>
          <w:sz w:val="32"/>
          <w:szCs w:val="32"/>
        </w:rPr>
        <w:t>三</w:t>
      </w:r>
      <w:r>
        <w:rPr>
          <w:rFonts w:hint="eastAsia" w:ascii="仿宋_GB2312" w:eastAsia="仿宋_GB2312"/>
          <w:b/>
          <w:bCs/>
          <w:kern w:val="0"/>
          <w:sz w:val="32"/>
          <w:szCs w:val="32"/>
        </w:rPr>
        <w:t>条</w:t>
      </w:r>
      <w:r>
        <w:rPr>
          <w:rFonts w:hint="eastAsia" w:ascii="仿宋_GB2312" w:eastAsia="仿宋_GB2312"/>
          <w:kern w:val="0"/>
          <w:sz w:val="32"/>
          <w:szCs w:val="32"/>
        </w:rPr>
        <w:t xml:space="preserve"> 江门市应急管理局将通过行政执法监督、执法</w:t>
      </w:r>
      <w:r>
        <w:rPr>
          <w:rFonts w:ascii="仿宋_GB2312" w:eastAsia="仿宋_GB2312"/>
          <w:kern w:val="0"/>
          <w:sz w:val="32"/>
          <w:szCs w:val="32"/>
        </w:rPr>
        <w:t>量化</w:t>
      </w:r>
      <w:r>
        <w:rPr>
          <w:rFonts w:hint="eastAsia" w:ascii="仿宋_GB2312" w:eastAsia="仿宋_GB2312"/>
          <w:kern w:val="0"/>
          <w:sz w:val="32"/>
          <w:szCs w:val="32"/>
        </w:rPr>
        <w:t>考核、行政执法案卷评查等方式，对规范行政处罚自由裁量权工作实施监督。</w:t>
      </w:r>
    </w:p>
    <w:p>
      <w:pPr>
        <w:widowControl/>
        <w:shd w:val="clear" w:color="auto" w:fill="FFFFFF"/>
        <w:snapToGrid w:val="0"/>
        <w:spacing w:line="240" w:lineRule="atLeast"/>
        <w:jc w:val="left"/>
        <w:rPr>
          <w:rFonts w:ascii="仿宋_GB2312" w:eastAsia="仿宋_GB2312"/>
          <w:bCs/>
          <w:kern w:val="0"/>
          <w:sz w:val="28"/>
          <w:szCs w:val="32"/>
        </w:rPr>
      </w:pPr>
    </w:p>
    <w:p>
      <w:pPr>
        <w:widowControl/>
        <w:shd w:val="clear" w:color="auto" w:fill="FFFFFF"/>
        <w:spacing w:line="580" w:lineRule="exact"/>
        <w:ind w:firstLine="642" w:firstLineChars="200"/>
        <w:jc w:val="left"/>
        <w:rPr>
          <w:rFonts w:ascii="仿宋_GB2312" w:eastAsia="仿宋_GB2312"/>
          <w:kern w:val="0"/>
          <w:sz w:val="32"/>
          <w:szCs w:val="32"/>
        </w:rPr>
      </w:pPr>
      <w:r>
        <w:rPr>
          <w:rFonts w:hint="eastAsia" w:ascii="仿宋_GB2312" w:eastAsia="仿宋_GB2312"/>
          <w:b/>
          <w:bCs/>
          <w:kern w:val="0"/>
          <w:sz w:val="32"/>
          <w:szCs w:val="32"/>
        </w:rPr>
        <w:t>第十</w:t>
      </w:r>
      <w:r>
        <w:rPr>
          <w:rFonts w:ascii="仿宋_GB2312" w:eastAsia="仿宋_GB2312"/>
          <w:b/>
          <w:bCs/>
          <w:kern w:val="0"/>
          <w:sz w:val="32"/>
          <w:szCs w:val="32"/>
        </w:rPr>
        <w:t>四</w:t>
      </w:r>
      <w:r>
        <w:rPr>
          <w:rFonts w:hint="eastAsia" w:ascii="仿宋_GB2312" w:eastAsia="仿宋_GB2312"/>
          <w:b/>
          <w:bCs/>
          <w:kern w:val="0"/>
          <w:sz w:val="32"/>
          <w:szCs w:val="32"/>
        </w:rPr>
        <w:t>条</w:t>
      </w:r>
      <w:r>
        <w:rPr>
          <w:rFonts w:hint="eastAsia" w:ascii="仿宋_GB2312" w:eastAsia="仿宋_GB2312"/>
          <w:kern w:val="0"/>
          <w:sz w:val="32"/>
          <w:szCs w:val="32"/>
        </w:rPr>
        <w:t xml:space="preserve"> 县（市、区</w:t>
      </w:r>
      <w:r>
        <w:rPr>
          <w:rFonts w:hint="eastAsia" w:ascii="仿宋_GB2312" w:eastAsia="仿宋_GB2312"/>
          <w:sz w:val="32"/>
          <w:szCs w:val="32"/>
        </w:rPr>
        <w:t>）级应急管理部门有下列情形之一的，江门市应急管理局应当依职权责</w:t>
      </w:r>
      <w:r>
        <w:rPr>
          <w:rFonts w:hint="eastAsia" w:ascii="仿宋_GB2312" w:eastAsia="仿宋_GB2312"/>
          <w:kern w:val="0"/>
          <w:sz w:val="32"/>
          <w:szCs w:val="32"/>
        </w:rPr>
        <w:t>令纠正；情节严重的，按照《广东省规范行政处罚自由裁量权规定》第二十二条的规定予以通报批评，并依法依规追究其主要负责人和直接责任人的行政责任：</w:t>
      </w:r>
    </w:p>
    <w:p>
      <w:pPr>
        <w:widowControl/>
        <w:shd w:val="clear" w:color="auto" w:fill="FFFFFF"/>
        <w:spacing w:line="580" w:lineRule="exact"/>
        <w:ind w:firstLine="640" w:firstLineChars="200"/>
        <w:jc w:val="left"/>
        <w:rPr>
          <w:rFonts w:ascii="仿宋_GB2312" w:eastAsia="仿宋_GB2312"/>
          <w:kern w:val="0"/>
          <w:sz w:val="32"/>
          <w:szCs w:val="32"/>
        </w:rPr>
      </w:pPr>
      <w:r>
        <w:rPr>
          <w:rFonts w:hint="eastAsia" w:ascii="仿宋_GB2312" w:eastAsia="仿宋_GB2312"/>
          <w:kern w:val="0"/>
          <w:sz w:val="32"/>
          <w:szCs w:val="32"/>
        </w:rPr>
        <w:t>（一）未按照行政处罚自由裁量权适用规则行使行政处罚自由裁量权的；</w:t>
      </w:r>
    </w:p>
    <w:p>
      <w:pPr>
        <w:widowControl/>
        <w:shd w:val="clear" w:color="auto" w:fill="FFFFFF"/>
        <w:spacing w:line="580" w:lineRule="exact"/>
        <w:ind w:firstLine="640" w:firstLineChars="200"/>
        <w:jc w:val="left"/>
        <w:rPr>
          <w:rFonts w:ascii="仿宋_GB2312" w:eastAsia="仿宋_GB2312"/>
          <w:color w:val="000000"/>
          <w:kern w:val="0"/>
          <w:sz w:val="32"/>
          <w:szCs w:val="32"/>
        </w:rPr>
      </w:pPr>
      <w:r>
        <w:rPr>
          <w:rFonts w:hint="eastAsia" w:ascii="仿宋_GB2312" w:eastAsia="仿宋_GB2312"/>
          <w:kern w:val="0"/>
          <w:sz w:val="32"/>
          <w:szCs w:val="32"/>
        </w:rPr>
        <w:t>（二）因行使行政处罚自由裁量权不当，造成重大损失或者恶劣影响的。</w:t>
      </w:r>
    </w:p>
    <w:p>
      <w:pPr>
        <w:widowControl/>
        <w:shd w:val="clear" w:color="auto" w:fill="FFFFFF"/>
        <w:snapToGrid w:val="0"/>
        <w:spacing w:line="240" w:lineRule="atLeast"/>
        <w:ind w:firstLine="560" w:firstLineChars="200"/>
        <w:jc w:val="left"/>
        <w:rPr>
          <w:rFonts w:ascii="楷体" w:hAnsi="楷体" w:eastAsia="楷体"/>
          <w:bCs/>
          <w:color w:val="00B050"/>
          <w:sz w:val="28"/>
          <w:szCs w:val="32"/>
          <w:highlight w:val="yellow"/>
        </w:rPr>
      </w:pPr>
    </w:p>
    <w:p>
      <w:pPr>
        <w:spacing w:line="580" w:lineRule="exact"/>
        <w:ind w:firstLine="640"/>
        <w:rPr>
          <w:rFonts w:ascii="仿宋_GB2312" w:eastAsia="仿宋_GB2312"/>
          <w:kern w:val="0"/>
          <w:sz w:val="32"/>
          <w:szCs w:val="32"/>
        </w:rPr>
      </w:pPr>
      <w:r>
        <w:rPr>
          <w:rFonts w:hint="eastAsia" w:ascii="仿宋_GB2312" w:eastAsia="仿宋_GB2312"/>
          <w:b/>
          <w:bCs/>
          <w:kern w:val="0"/>
          <w:sz w:val="32"/>
          <w:szCs w:val="32"/>
        </w:rPr>
        <w:t>第十</w:t>
      </w:r>
      <w:r>
        <w:rPr>
          <w:rFonts w:ascii="仿宋_GB2312" w:eastAsia="仿宋_GB2312"/>
          <w:b/>
          <w:bCs/>
          <w:kern w:val="0"/>
          <w:sz w:val="32"/>
          <w:szCs w:val="32"/>
        </w:rPr>
        <w:t>五</w:t>
      </w:r>
      <w:r>
        <w:rPr>
          <w:rFonts w:hint="eastAsia" w:ascii="仿宋_GB2312" w:eastAsia="仿宋_GB2312"/>
          <w:b/>
          <w:bCs/>
          <w:kern w:val="0"/>
          <w:sz w:val="32"/>
          <w:szCs w:val="32"/>
        </w:rPr>
        <w:t xml:space="preserve">条 </w:t>
      </w:r>
      <w:r>
        <w:rPr>
          <w:rFonts w:hint="eastAsia" w:ascii="仿宋_GB2312" w:eastAsia="仿宋_GB2312"/>
          <w:kern w:val="0"/>
          <w:sz w:val="32"/>
          <w:szCs w:val="32"/>
        </w:rPr>
        <w:t>《</w:t>
      </w:r>
      <w:r>
        <w:rPr>
          <w:rFonts w:hint="default" w:ascii="仿宋_GB2312" w:eastAsia="仿宋_GB2312"/>
          <w:kern w:val="0"/>
          <w:sz w:val="32"/>
          <w:szCs w:val="32"/>
        </w:rPr>
        <w:t>江门市</w:t>
      </w:r>
      <w:r>
        <w:rPr>
          <w:rFonts w:hint="eastAsia" w:ascii="仿宋_GB2312" w:eastAsia="仿宋_GB2312"/>
          <w:kern w:val="0"/>
          <w:sz w:val="32"/>
          <w:szCs w:val="32"/>
        </w:rPr>
        <w:t>安全生产行政处罚自由裁量基准表》为本规则附件，与本规则具有同等效力。表格中“以上”“高于”含本数，“超过”“低于”“以下”“少于”“小于”不含本数，但涉及法定处罚</w:t>
      </w:r>
      <w:r>
        <w:rPr>
          <w:rFonts w:hint="eastAsia" w:ascii="仿宋_GB2312" w:eastAsia="仿宋_GB2312"/>
          <w:sz w:val="32"/>
          <w:szCs w:val="32"/>
        </w:rPr>
        <w:t>上限时</w:t>
      </w:r>
      <w:r>
        <w:rPr>
          <w:rFonts w:hint="eastAsia" w:ascii="仿宋_GB2312" w:eastAsia="仿宋_GB2312"/>
          <w:kern w:val="0"/>
          <w:sz w:val="32"/>
          <w:szCs w:val="32"/>
        </w:rPr>
        <w:t>“以下”包括本数。</w:t>
      </w:r>
    </w:p>
    <w:p>
      <w:pPr>
        <w:snapToGrid w:val="0"/>
        <w:spacing w:line="240" w:lineRule="atLeast"/>
        <w:ind w:firstLine="641"/>
        <w:rPr>
          <w:rFonts w:ascii="楷体" w:hAnsi="楷体" w:eastAsia="楷体"/>
          <w:color w:val="00B050"/>
          <w:sz w:val="28"/>
          <w:szCs w:val="32"/>
        </w:rPr>
      </w:pPr>
    </w:p>
    <w:p>
      <w:pPr>
        <w:spacing w:line="580" w:lineRule="exact"/>
        <w:ind w:firstLine="642" w:firstLineChars="200"/>
        <w:rPr>
          <w:rFonts w:ascii="仿宋_GB2312" w:eastAsia="仿宋_GB2312"/>
          <w:color w:val="000000"/>
          <w:kern w:val="0"/>
          <w:sz w:val="32"/>
          <w:szCs w:val="32"/>
        </w:rPr>
      </w:pPr>
      <w:r>
        <w:rPr>
          <w:rFonts w:hint="eastAsia" w:ascii="仿宋_GB2312" w:eastAsia="仿宋_GB2312"/>
          <w:b/>
          <w:bCs/>
          <w:kern w:val="0"/>
          <w:sz w:val="32"/>
          <w:szCs w:val="32"/>
        </w:rPr>
        <w:t>第十</w:t>
      </w:r>
      <w:r>
        <w:rPr>
          <w:rFonts w:ascii="仿宋_GB2312" w:eastAsia="仿宋_GB2312"/>
          <w:b/>
          <w:bCs/>
          <w:kern w:val="0"/>
          <w:sz w:val="32"/>
          <w:szCs w:val="32"/>
        </w:rPr>
        <w:t>六</w:t>
      </w:r>
      <w:r>
        <w:rPr>
          <w:rFonts w:hint="eastAsia" w:ascii="仿宋_GB2312" w:eastAsia="仿宋_GB2312"/>
          <w:b/>
          <w:bCs/>
          <w:kern w:val="0"/>
          <w:sz w:val="32"/>
          <w:szCs w:val="32"/>
        </w:rPr>
        <w:t>条</w:t>
      </w:r>
      <w:r>
        <w:rPr>
          <w:rFonts w:hint="eastAsia" w:ascii="黑体" w:eastAsia="黑体"/>
          <w:sz w:val="32"/>
          <w:szCs w:val="32"/>
        </w:rPr>
        <w:t xml:space="preserve"> </w:t>
      </w:r>
      <w:r>
        <w:rPr>
          <w:rFonts w:hint="eastAsia" w:ascii="仿宋_GB2312" w:eastAsia="仿宋_GB2312"/>
          <w:color w:val="000000"/>
          <w:kern w:val="0"/>
          <w:sz w:val="32"/>
          <w:szCs w:val="32"/>
        </w:rPr>
        <w:t>本规则由江门市应急管理局负责解释，自2024年</w:t>
      </w:r>
      <w:r>
        <w:rPr>
          <w:rFonts w:hint="default" w:ascii="仿宋_GB2312" w:eastAsia="仿宋_GB2312"/>
          <w:color w:val="000000"/>
          <w:kern w:val="0"/>
          <w:sz w:val="32"/>
          <w:szCs w:val="32"/>
        </w:rPr>
        <w:t>6</w:t>
      </w:r>
      <w:r>
        <w:rPr>
          <w:rFonts w:hint="eastAsia" w:ascii="仿宋_GB2312" w:eastAsia="仿宋_GB2312"/>
          <w:color w:val="000000"/>
          <w:kern w:val="0"/>
          <w:sz w:val="32"/>
          <w:szCs w:val="32"/>
        </w:rPr>
        <w:t>月</w:t>
      </w:r>
      <w:r>
        <w:rPr>
          <w:rFonts w:hint="default" w:ascii="仿宋_GB2312" w:eastAsia="仿宋_GB2312"/>
          <w:color w:val="000000"/>
          <w:kern w:val="0"/>
          <w:sz w:val="32"/>
          <w:szCs w:val="32"/>
        </w:rPr>
        <w:t>20</w:t>
      </w:r>
      <w:r>
        <w:rPr>
          <w:rFonts w:hint="eastAsia" w:ascii="仿宋_GB2312" w:eastAsia="仿宋_GB2312"/>
          <w:color w:val="000000"/>
          <w:kern w:val="0"/>
          <w:sz w:val="32"/>
          <w:szCs w:val="32"/>
        </w:rPr>
        <w:t>日起实施，有效期至2027年</w:t>
      </w:r>
      <w:r>
        <w:rPr>
          <w:rFonts w:hint="default" w:ascii="仿宋_GB2312" w:eastAsia="仿宋_GB2312"/>
          <w:color w:val="000000"/>
          <w:kern w:val="0"/>
          <w:sz w:val="32"/>
          <w:szCs w:val="32"/>
        </w:rPr>
        <w:t>6</w:t>
      </w:r>
      <w:r>
        <w:rPr>
          <w:rFonts w:hint="eastAsia" w:ascii="仿宋_GB2312" w:eastAsia="仿宋_GB2312"/>
          <w:color w:val="000000"/>
          <w:kern w:val="0"/>
          <w:sz w:val="32"/>
          <w:szCs w:val="32"/>
        </w:rPr>
        <w:t>月</w:t>
      </w:r>
      <w:r>
        <w:rPr>
          <w:rFonts w:hint="default" w:ascii="仿宋_GB2312" w:eastAsia="仿宋_GB2312"/>
          <w:color w:val="000000"/>
          <w:kern w:val="0"/>
          <w:sz w:val="32"/>
          <w:szCs w:val="32"/>
        </w:rPr>
        <w:t>19</w:t>
      </w:r>
      <w:r>
        <w:rPr>
          <w:rFonts w:hint="eastAsia" w:ascii="仿宋_GB2312" w:eastAsia="仿宋_GB2312"/>
          <w:color w:val="000000"/>
          <w:kern w:val="0"/>
          <w:sz w:val="32"/>
          <w:szCs w:val="32"/>
        </w:rPr>
        <w:t>日。</w:t>
      </w:r>
    </w:p>
    <w:p>
      <w:pPr>
        <w:widowControl/>
        <w:snapToGrid w:val="0"/>
        <w:spacing w:line="240" w:lineRule="atLeast"/>
        <w:ind w:firstLine="560" w:firstLineChars="200"/>
        <w:jc w:val="left"/>
        <w:rPr>
          <w:rFonts w:ascii="楷体" w:hAnsi="楷体" w:eastAsia="楷体"/>
          <w:color w:val="00B050"/>
          <w:sz w:val="28"/>
          <w:szCs w:val="32"/>
        </w:rPr>
      </w:pPr>
    </w:p>
    <w:p>
      <w:pPr>
        <w:shd w:val="clear" w:color="auto" w:fill="FFFFFF"/>
        <w:spacing w:line="580" w:lineRule="exact"/>
        <w:ind w:firstLine="642" w:firstLineChars="200"/>
      </w:pPr>
      <w:r>
        <w:rPr>
          <w:rFonts w:hint="eastAsia" w:ascii="仿宋_GB2312" w:eastAsia="仿宋_GB2312"/>
          <w:b/>
          <w:bCs/>
          <w:kern w:val="0"/>
          <w:sz w:val="32"/>
          <w:szCs w:val="32"/>
        </w:rPr>
        <w:t>第十</w:t>
      </w:r>
      <w:r>
        <w:rPr>
          <w:rFonts w:ascii="仿宋_GB2312" w:eastAsia="仿宋_GB2312"/>
          <w:b/>
          <w:bCs/>
          <w:kern w:val="0"/>
          <w:sz w:val="32"/>
          <w:szCs w:val="32"/>
        </w:rPr>
        <w:t>七</w:t>
      </w:r>
      <w:r>
        <w:rPr>
          <w:rFonts w:hint="eastAsia" w:ascii="仿宋_GB2312" w:eastAsia="仿宋_GB2312"/>
          <w:b/>
          <w:bCs/>
          <w:kern w:val="0"/>
          <w:sz w:val="32"/>
          <w:szCs w:val="32"/>
        </w:rPr>
        <w:t>条</w:t>
      </w:r>
      <w:r>
        <w:rPr>
          <w:rFonts w:hint="eastAsia" w:ascii="仿宋" w:hAnsi="仿宋" w:eastAsia="仿宋" w:cs="仿宋"/>
          <w:sz w:val="32"/>
          <w:szCs w:val="32"/>
        </w:rPr>
        <w:t xml:space="preserve"> </w:t>
      </w:r>
      <w:r>
        <w:rPr>
          <w:rFonts w:hint="eastAsia" w:ascii="仿宋_GB2312" w:eastAsia="仿宋_GB2312"/>
          <w:color w:val="000000"/>
          <w:kern w:val="0"/>
          <w:sz w:val="32"/>
          <w:szCs w:val="32"/>
        </w:rPr>
        <w:t>有关法律、法规和规章以及上级行政规范性文件对行政处罚裁量适用规则另有规定的，从其规定。</w:t>
      </w:r>
    </w:p>
    <w:p>
      <w:pPr>
        <w:pStyle w:val="2"/>
        <w:ind w:firstLine="640"/>
        <w:rPr>
          <w:rFonts w:ascii="仿宋_GB2312" w:hAnsi="黑体" w:eastAsia="仿宋_GB2312"/>
          <w:sz w:val="32"/>
          <w:szCs w:val="32"/>
        </w:rPr>
      </w:pPr>
    </w:p>
    <w:p>
      <w:pPr>
        <w:ind w:firstLine="640" w:firstLineChars="200"/>
        <w:rPr>
          <w:rFonts w:hint="default" w:ascii="仿宋_GB2312" w:hAnsi="黑体" w:eastAsia="仿宋_GB2312"/>
          <w:sz w:val="32"/>
          <w:szCs w:val="32"/>
        </w:rPr>
        <w:sectPr>
          <w:footerReference r:id="rId3" w:type="default"/>
          <w:pgSz w:w="11906" w:h="16838"/>
          <w:pgMar w:top="1440" w:right="1800" w:bottom="1440" w:left="1800" w:header="851" w:footer="992" w:gutter="0"/>
          <w:pgNumType w:fmt="decimal" w:start="1"/>
          <w:cols w:space="720" w:num="1"/>
          <w:docGrid w:type="lines" w:linePitch="312" w:charSpace="0"/>
        </w:sectPr>
      </w:pPr>
      <w:r>
        <w:rPr>
          <w:rFonts w:hint="eastAsia" w:ascii="仿宋_GB2312" w:hAnsi="黑体" w:eastAsia="仿宋_GB2312"/>
          <w:sz w:val="32"/>
          <w:szCs w:val="32"/>
        </w:rPr>
        <w:t>附件：江门市安全生产行政处罚自由裁量基准</w:t>
      </w:r>
      <w:r>
        <w:rPr>
          <w:rFonts w:hint="default" w:ascii="仿宋_GB2312" w:hAnsi="黑体" w:eastAsia="仿宋_GB2312"/>
          <w:sz w:val="32"/>
          <w:szCs w:val="32"/>
        </w:rPr>
        <w:t>表</w:t>
      </w:r>
    </w:p>
    <w:tbl>
      <w:tblPr>
        <w:tblStyle w:val="9"/>
        <w:tblW w:w="5508" w:type="pct"/>
        <w:tblInd w:w="316" w:type="dxa"/>
        <w:tblLayout w:type="fixed"/>
        <w:tblCellMar>
          <w:top w:w="0" w:type="dxa"/>
          <w:left w:w="108" w:type="dxa"/>
          <w:bottom w:w="0" w:type="dxa"/>
          <w:right w:w="108" w:type="dxa"/>
        </w:tblCellMar>
      </w:tblPr>
      <w:tblGrid>
        <w:gridCol w:w="711"/>
        <w:gridCol w:w="1753"/>
        <w:gridCol w:w="1200"/>
        <w:gridCol w:w="3817"/>
        <w:gridCol w:w="4299"/>
        <w:gridCol w:w="3401"/>
        <w:gridCol w:w="1282"/>
        <w:gridCol w:w="2165"/>
        <w:gridCol w:w="3000"/>
        <w:gridCol w:w="1467"/>
      </w:tblGrid>
      <w:tr>
        <w:tblPrEx>
          <w:tblCellMar>
            <w:top w:w="0" w:type="dxa"/>
            <w:left w:w="108" w:type="dxa"/>
            <w:bottom w:w="0" w:type="dxa"/>
            <w:right w:w="108" w:type="dxa"/>
          </w:tblCellMar>
        </w:tblPrEx>
        <w:trPr>
          <w:trHeight w:val="405" w:hRule="atLeast"/>
        </w:trPr>
        <w:tc>
          <w:tcPr>
            <w:tcW w:w="533" w:type="pct"/>
            <w:gridSpan w:val="2"/>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宋体" w:hAnsi="宋体" w:cs="宋体"/>
                <w:kern w:val="0"/>
                <w:sz w:val="24"/>
                <w:szCs w:val="24"/>
              </w:rPr>
            </w:pPr>
            <w:r>
              <w:rPr>
                <w:rFonts w:hint="eastAsia" w:ascii="CESI黑体-GB13000" w:hAnsi="宋体" w:eastAsia="CESI黑体-GB13000" w:cs="宋体"/>
                <w:kern w:val="0"/>
                <w:sz w:val="24"/>
                <w:szCs w:val="24"/>
              </w:rPr>
              <w:t>附件：</w:t>
            </w:r>
          </w:p>
        </w:tc>
        <w:tc>
          <w:tcPr>
            <w:tcW w:w="259" w:type="pct"/>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宋体" w:hAnsi="宋体" w:cs="宋体"/>
                <w:kern w:val="0"/>
                <w:sz w:val="24"/>
                <w:szCs w:val="24"/>
              </w:rPr>
            </w:pPr>
          </w:p>
        </w:tc>
        <w:tc>
          <w:tcPr>
            <w:tcW w:w="826" w:type="pct"/>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宋体" w:hAnsi="宋体" w:cs="宋体"/>
                <w:kern w:val="0"/>
                <w:sz w:val="24"/>
                <w:szCs w:val="24"/>
              </w:rPr>
            </w:pPr>
          </w:p>
        </w:tc>
        <w:tc>
          <w:tcPr>
            <w:tcW w:w="930" w:type="pct"/>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宋体" w:hAnsi="宋体" w:cs="宋体"/>
                <w:kern w:val="0"/>
                <w:sz w:val="24"/>
                <w:szCs w:val="24"/>
              </w:rPr>
            </w:pPr>
          </w:p>
        </w:tc>
        <w:tc>
          <w:tcPr>
            <w:tcW w:w="736" w:type="pct"/>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宋体" w:hAnsi="宋体" w:cs="宋体"/>
                <w:kern w:val="0"/>
                <w:sz w:val="24"/>
                <w:szCs w:val="24"/>
              </w:rPr>
            </w:pPr>
          </w:p>
        </w:tc>
        <w:tc>
          <w:tcPr>
            <w:tcW w:w="277" w:type="pct"/>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hAnsi="宋体" w:cs="宋体"/>
                <w:kern w:val="0"/>
                <w:sz w:val="24"/>
                <w:szCs w:val="24"/>
              </w:rPr>
            </w:pPr>
          </w:p>
        </w:tc>
        <w:tc>
          <w:tcPr>
            <w:tcW w:w="468" w:type="pct"/>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宋体" w:hAnsi="宋体" w:cs="宋体"/>
                <w:kern w:val="0"/>
                <w:sz w:val="24"/>
                <w:szCs w:val="24"/>
              </w:rPr>
            </w:pPr>
          </w:p>
        </w:tc>
        <w:tc>
          <w:tcPr>
            <w:tcW w:w="649" w:type="pct"/>
            <w:tcBorders>
              <w:top w:val="nil"/>
              <w:left w:val="nil"/>
              <w:bottom w:val="nil"/>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宋体" w:hAnsi="宋体" w:cs="宋体"/>
                <w:kern w:val="0"/>
                <w:sz w:val="24"/>
                <w:szCs w:val="24"/>
              </w:rPr>
            </w:pPr>
          </w:p>
        </w:tc>
        <w:tc>
          <w:tcPr>
            <w:tcW w:w="317" w:type="pct"/>
            <w:tcBorders>
              <w:top w:val="nil"/>
              <w:left w:val="nil"/>
              <w:bottom w:val="nil"/>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570" w:hRule="atLeast"/>
        </w:trPr>
        <w:tc>
          <w:tcPr>
            <w:tcW w:w="5000" w:type="pct"/>
            <w:gridSpan w:val="10"/>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方正小标宋简体" w:hAnsi="宋体" w:eastAsia="方正小标宋简体" w:cs="宋体"/>
                <w:kern w:val="0"/>
                <w:sz w:val="32"/>
                <w:szCs w:val="32"/>
              </w:rPr>
            </w:pPr>
            <w:bookmarkStart w:id="0" w:name="RANGE!A2:J262"/>
            <w:r>
              <w:rPr>
                <w:rFonts w:hint="eastAsia" w:ascii="方正小标宋简体" w:hAnsi="宋体" w:eastAsia="方正小标宋简体" w:cs="宋体"/>
                <w:kern w:val="0"/>
                <w:sz w:val="32"/>
                <w:szCs w:val="32"/>
              </w:rPr>
              <w:t>江门市安全生产行政处罚自由裁量基准表</w:t>
            </w:r>
            <w:bookmarkEnd w:id="0"/>
          </w:p>
        </w:tc>
      </w:tr>
      <w:tr>
        <w:tblPrEx>
          <w:tblCellMar>
            <w:top w:w="0" w:type="dxa"/>
            <w:left w:w="108" w:type="dxa"/>
            <w:bottom w:w="0" w:type="dxa"/>
            <w:right w:w="108" w:type="dxa"/>
          </w:tblCellMar>
        </w:tblPrEx>
        <w:trPr>
          <w:trHeight w:val="405" w:hRule="atLeast"/>
        </w:trPr>
        <w:tc>
          <w:tcPr>
            <w:tcW w:w="153"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序号</w:t>
            </w:r>
          </w:p>
        </w:tc>
        <w:tc>
          <w:tcPr>
            <w:tcW w:w="37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违法行为</w:t>
            </w:r>
          </w:p>
        </w:tc>
        <w:tc>
          <w:tcPr>
            <w:tcW w:w="25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宋体" w:eastAsia="仿宋_GB2312" w:cs="宋体"/>
                <w:b/>
                <w:bCs/>
                <w:kern w:val="0"/>
                <w:sz w:val="24"/>
                <w:szCs w:val="24"/>
              </w:rPr>
            </w:pPr>
            <w:r>
              <w:rPr>
                <w:rFonts w:hint="eastAsia" w:ascii="仿宋_GB2312" w:hAnsi="宋体" w:eastAsia="仿宋_GB2312" w:cs="宋体"/>
                <w:b/>
                <w:bCs/>
                <w:kern w:val="0"/>
                <w:sz w:val="24"/>
                <w:szCs w:val="24"/>
              </w:rPr>
              <w:t>基本</w:t>
            </w:r>
          </w:p>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编码</w:t>
            </w:r>
          </w:p>
        </w:tc>
        <w:tc>
          <w:tcPr>
            <w:tcW w:w="826"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法律规定</w:t>
            </w:r>
          </w:p>
        </w:tc>
        <w:tc>
          <w:tcPr>
            <w:tcW w:w="930"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处罚依据</w:t>
            </w:r>
          </w:p>
        </w:tc>
        <w:tc>
          <w:tcPr>
            <w:tcW w:w="736"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处罚种类及幅度</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违法程度</w:t>
            </w:r>
          </w:p>
        </w:tc>
        <w:tc>
          <w:tcPr>
            <w:tcW w:w="468" w:type="pct"/>
            <w:tcBorders>
              <w:top w:val="nil"/>
              <w:left w:val="nil"/>
              <w:bottom w:val="single" w:color="auto" w:sz="4"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处罚裁量情节</w:t>
            </w:r>
          </w:p>
        </w:tc>
        <w:tc>
          <w:tcPr>
            <w:tcW w:w="649"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处罚裁量标准</w:t>
            </w:r>
          </w:p>
        </w:tc>
        <w:tc>
          <w:tcPr>
            <w:tcW w:w="31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实施主体</w:t>
            </w:r>
          </w:p>
        </w:tc>
      </w:tr>
      <w:tr>
        <w:tblPrEx>
          <w:tblCellMar>
            <w:top w:w="0" w:type="dxa"/>
            <w:left w:w="108" w:type="dxa"/>
            <w:bottom w:w="0" w:type="dxa"/>
            <w:right w:w="108" w:type="dxa"/>
          </w:tblCellMar>
        </w:tblPrEx>
        <w:trPr>
          <w:trHeight w:val="81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1</w:t>
            </w:r>
          </w:p>
        </w:tc>
        <w:tc>
          <w:tcPr>
            <w:tcW w:w="37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对承担安全评价、检测、检验职责的机构出具失实报告行为的处罚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440278211000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七十二条第一款：承担安全评价、认证、检测、检验职责的机构应当具备国家规定的资质条件，并对其作出的安全评价、认证、检测、检验结果的合法性、真实性负责。资质条件由国务院应急管理部门会同国务院有关部门制定。</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《中华人民共和国安全生产法》第九十二条第一款：承担安全评价、认证、检测、检验职责的机构出具失实报告的，责令停业整顿，并处三万元以上十万元以下的罚款；给他人造成损害的，依法承担赔偿责任。</w:t>
            </w:r>
          </w:p>
        </w:tc>
        <w:tc>
          <w:tcPr>
            <w:tcW w:w="73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责令停业整顿，并处三万元以上十万元以下的罚款；给他人造成损害的，依法承担赔偿责任。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出具失实报告，失实1处以上3处以下的。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责令停业整顿，并对机构处3万元以上5万元以下的罚款。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81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出具失实报告，失实3处以上5处以下的。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责令停业整顿，并对机构处5万元以上8万元以下的罚款。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81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出具失实报告，失实5处以上的。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责令停业整顿并对机构处8万元以上10万元以下的罚款。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2</w:t>
            </w:r>
          </w:p>
        </w:tc>
        <w:tc>
          <w:tcPr>
            <w:tcW w:w="37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对承担安全评价、检测、检验职责的机构租借资质、挂靠、出具虚假报告的行为的处罚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440278211000</w:t>
            </w:r>
          </w:p>
        </w:tc>
        <w:tc>
          <w:tcPr>
            <w:tcW w:w="82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《中华人民共和国安全生产法》第七十二条第二款：承担安全评价、认证、检测、检验职责的机构应当建立并实施服务公开和报告公开制度，不得租借资质、挂靠、出具虚假报告。</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二条第二款、第三款：承担安全评价、认证、检测、检验职责的机构租借资质、挂靠、出具虚假报告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五万元以上十万元以下的罚款；给他人造成损害的，与生产经营单位承担连带赔偿责任；构成犯罪的，依照刑法有关规定追究刑事责任。</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 xml:space="preserve">    对有前款违法行为的机构及其直接责任人员，吊销其相应资质和资格，五年内不得从事安全评价、认证、检测、检验等工作；情节严重的，实行终身行业和职业禁入。</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五万元以上十万元以下的罚款；给他人造成损害的，与生产经营单位承担连带赔偿责任；构成犯罪的，依照刑法有关规定追究刑事责任。</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 xml:space="preserve">   对有前款违法行为的机构及其直接责任人员，吊销其相应资质和资格，五年内不得从事安全评价、认证、检测、检验等工作；情节严重的，实行终身行业和职业禁入。</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没有违法所得的。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对机构处10万元以上13万以下的罚款；对其直接负责的主管人员和其他直接责任人员处5万元以上6万元以下的罚款，吊销其相应资质和资格，五年内不得从事安全评价、认证、检测、检验等工作。</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违法所得不足5万元。</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没收违法所得，对机构并处13万元以上17万元以下的罚款；对其直接负责的主管人员和其他直接负责人员处6万元以上7万元以下的罚款，吊销其相应资质和资格，五年内不得从事安全评价、认证、检测、检验等工作。</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违法所得5万元以上10万元以下。</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没收违法所得，对机构并处17万元以上20万元以下的罚款；对其直接负责的主管人员和其他直接负责人员处7万元以上8万元以下罚款，吊销其相应资质和资格，五年内不得从事安全评价、认证、检测、检验等工作。</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违法所得10万元以上20万元以下。</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没收违法所得，对机构并处违法所得2倍以上4倍以下的罚款；对其直接负责的主管人员和其他直接负责人员处8万元以上9万元以下的罚款，吊销其相应资质和资格，实行终身行业和职业禁入。</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情节特别严重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违法所得20万元以上的。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没收违法所得，对机构并处违法所得4倍以上5倍以下的罚款；对其直接负责的主管人员和其他直接负责人员处9万元以上10万元以下的罚款，吊销其相应资质和资格，实行终身行业和职业禁入。</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21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3</w:t>
            </w:r>
          </w:p>
        </w:tc>
        <w:tc>
          <w:tcPr>
            <w:tcW w:w="37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对生产经营单位的决策机构、主要负责人或者个人经营的投资人不依照《安全生产法》的规定保证安全生产所必需的资金投入，致使生产经营单位不具备安全生产条件的行为的处罚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440278002000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《中华人民共和国安全生产法》第二十三条：　生产经营单位应当具备的安全生产条件所必需的资金投入，由生产经营单位的决策机构、主要负责人或者个人经营的投资人予以保证，并对由于安全生产所必需的资金投入不足导致的后果承担责任。</w:t>
            </w:r>
          </w:p>
        </w:tc>
        <w:tc>
          <w:tcPr>
            <w:tcW w:w="930"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三条：生产经营单位的决策机构、主要负责人或者个人经营的投资人不依照本法规定保证安全生产所必需的资金投入，致使生产经营单位不具备安全生产条件的，责令限期改正，提供必需的资金；逾期未改正的，责令生产经营单位停产停业整顿。</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有前款违法行为，导致发生生产安全事故的，对生产经营单位的主要负责人给予撤职处分，对个人经营的投资人处二万元以上二十万元以下的罚款；构成犯罪的，依照刑法有关规定追究刑事责任。</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《生产安全事故罚款处罚规定》第二十一条 个人经营的投资人未依照《中华人民共和国安全生产法》的规定保证安全生产所必需的资金投入，致使生产经营单位不具备安全生产条件，导致发生生产安全事故的，依照下列规定对个人经营的投资人处以罚款：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（一）发生一般事故的，处2万元以上5万元以下的罚款；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（二）发生较大事故的，处5万元以上10万元以下的罚款；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（三）发生重大事故的，处10万元以上15万元以下的罚款；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（四）发生特别重大事故的，处15万元以上20万元以下的罚款。</w:t>
            </w:r>
          </w:p>
        </w:tc>
        <w:tc>
          <w:tcPr>
            <w:tcW w:w="73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（一）发生一般事故的，处2万元以上5万元以下的罚款；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（二）发生较大事故的，处5万元以上10万元以下的罚款；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（三）发生重大事故的，处10万元以上15万元以下的罚款；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（四）发生特别重大事故的，处15万元以上20万元以下的罚款。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发生一般事故的。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对生产经营单位的主要负责人给予撤职处分，对个人经营的投资人处2万元以上5万元以下的罚款。</w:t>
            </w:r>
          </w:p>
        </w:tc>
        <w:tc>
          <w:tcPr>
            <w:tcW w:w="31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各县（市、区）应急管理局</w:t>
            </w:r>
          </w:p>
        </w:tc>
      </w:tr>
      <w:tr>
        <w:tblPrEx>
          <w:tblCellMar>
            <w:top w:w="0" w:type="dxa"/>
            <w:left w:w="108" w:type="dxa"/>
            <w:bottom w:w="0" w:type="dxa"/>
            <w:right w:w="108" w:type="dxa"/>
          </w:tblCellMar>
        </w:tblPrEx>
        <w:trPr>
          <w:trHeight w:val="121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发生较大事故的。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对生产经营单位的主要负责人给予撤职处分，对个人经营的投资人处5万元以上10万元以下的罚款。</w:t>
            </w:r>
          </w:p>
        </w:tc>
        <w:tc>
          <w:tcPr>
            <w:tcW w:w="31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江门市应急管理局</w:t>
            </w:r>
          </w:p>
        </w:tc>
      </w:tr>
      <w:tr>
        <w:tblPrEx>
          <w:tblCellMar>
            <w:top w:w="0" w:type="dxa"/>
            <w:left w:w="108" w:type="dxa"/>
            <w:bottom w:w="0" w:type="dxa"/>
            <w:right w:w="108" w:type="dxa"/>
          </w:tblCellMar>
        </w:tblPrEx>
        <w:trPr>
          <w:trHeight w:val="3942"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发生重大事故，上级指定管辖的。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对生产经营单位的主要负责人给予撤职处分，对个人经营的投资人处10万元以上15万元以下的罚款。</w:t>
            </w:r>
          </w:p>
        </w:tc>
        <w:tc>
          <w:tcPr>
            <w:tcW w:w="317"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受指定管辖的应急管理部门</w:t>
            </w:r>
          </w:p>
        </w:tc>
      </w:tr>
      <w:tr>
        <w:tblPrEx>
          <w:tblCellMar>
            <w:top w:w="0" w:type="dxa"/>
            <w:left w:w="108" w:type="dxa"/>
            <w:bottom w:w="0" w:type="dxa"/>
            <w:right w:w="108" w:type="dxa"/>
          </w:tblCellMar>
        </w:tblPrEx>
        <w:trPr>
          <w:trHeight w:val="121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发生特别重大事故，上级指定管辖的。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对生产经营单位的主要负责人给予撤职处分，对个人经营的投资人处15万元以上20万元以下的罚款。</w:t>
            </w:r>
          </w:p>
        </w:tc>
        <w:tc>
          <w:tcPr>
            <w:tcW w:w="317"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w:t>
            </w:r>
          </w:p>
        </w:tc>
        <w:tc>
          <w:tcPr>
            <w:tcW w:w="37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对生产经营单位的主要负责人未履行《安全生产法》规定的安全生产管理职责行为的处罚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440278004000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《中华人民共和国安全生产法》第二十一条，生产经营单位的主要负责人对本单位安全生产工作负有下列职责：</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（一）建立健全并落实本单位全员安全生产责任制，加强安全生产标准化建设；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（二）组织制定并实施本单位安全生产规章制度和操作规程；</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（三）组织制定并实施本单位安全生产教育和培训计划；</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（四）保证本单位安全生产投入的有效实施；</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（五）组织建立并落实安全风险分级管控和隐患排查治理双重预防工作机制，督促、检查本单位的安全生产工作，及时消除生产安全事故隐患；</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（六）组织制定并实施本单位的生产安全事故应急救援预案；</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（七）及时、如实报告生产安全事故。</w:t>
            </w:r>
          </w:p>
        </w:tc>
        <w:tc>
          <w:tcPr>
            <w:tcW w:w="93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四条：生产经营单位的主要负责人未履行本法规定的安全生产管理职责的，责令限期改正，处二万元以上五万元以下的罚款；逾期未改正的，处五万元以上十万元以下的罚款，责令生产经营单位停产停业整顿。”</w:t>
            </w:r>
          </w:p>
        </w:tc>
        <w:tc>
          <w:tcPr>
            <w:tcW w:w="73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责令限期改正，处二万元以上五万元以下的罚款；逾期未改正的，处五万元以上十万元以下的罚款，责令生产经营单位停产停业整顿。</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生产经营单位存在1项未履行或者履行不到位的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对生产经营单位的主要负责人处2万元以上3万元以下罚款；逾期未改正的，处5万元以上6.5万元以下的罚款，责令生产经营单位停产停业整顿。</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生产经营单位存在2项未履行或者履行不到位的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对生产经营单位的主要负责人处3万元以上4万元以下的罚款，逾期未改正的，处6.5万元以上8.5万元以下，责令生产经营单位停产停业整顿。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生产经营单位存在第3项或以上未履行或者履行不到位的。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对生产经营单位的主要负责人处4万元以上5万元以下罚款；逾期未改正的，处8.5万元以上10万元以下的罚款，责令生产经营单位停产停业整顿。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5</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对生产经营单位的主要负责人未履行《安全生产法》规定的安全生产管理职责，导致发生生产安全事故行为的处罚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440278005000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《中华人民共和国安全生产法》第二十一条，生产经营单位的主要负责人对本单位安全生产工作负有下列职责：</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（一）建立健全并落实本单位全员安全生产责任制，加强安全生产标准化建设；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（二）组织制定并实施本单位安全生产规章制度和操作规程；</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（三）组织制定并实施本单位安全生产教育和培训计划；</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（四）保证本单位安全生产投入的有效实施；</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（五）组织建立并落实安全风险分级管控和隐患排查治理双重预防工作机制，督促、检查本单位的安全生产工作，及时消除生产安全事故隐患；</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（六）组织制定并实施本单位的生产安全事故应急救援预案；</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（七）及时、如实报告生产安全事故。</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五条：生产经营单位的主要负责人未履行本法规定的安全生产管理职责，导致发生生产安全事故的，由应急管理部门依照下列规定处以罚款：（一）发生一般事故的，处上一年年收入百分之四十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（二）发生较大事故的，处上一年年收入百分之六十的罚款；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（三）发生重大事故的，处上一年年收入百分之八十的罚款；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（四）发生特别重大事故的，处上一年年收入百分之一百的罚款。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《生产安全事故罚款处罚规定》第四条　本规定所称事故发生单位主要负责人、其他负责人、安全生产管理人员以及直接负责的主管人员、其他直接责任人员的上一年年收入，属于国有生产经营单位的，是指该单位上级主管部门所确定的上一年年收入总额；属于非国有生产经营单位的，是指经财务、税务部门核定的上一年年收入总额。</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生产经营单位提供虚假资料或者由于财务、税务部门无法核定等原因致使有关人员的上一年年收入难以确定的，按照下列办法确定：</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（一）主要负责人的上一年年收入，按照本省、自治区、直辖市上一年度城镇单位就业人员平均工资的5倍以上10倍以下计算；</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（二）其他负责人、安全生产管理人员以及直接负责的主管人员、其他直接责任人员的上一年年收入，按照本省、自治区、直辖市上一年度城镇单位就业人员平均工资的1倍以上5倍以下计算。</w:t>
            </w:r>
          </w:p>
        </w:tc>
        <w:tc>
          <w:tcPr>
            <w:tcW w:w="73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（一）发生一般事故的，处上一年年收入百分之四十的罚款；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（二）发生较大事故的，处上一年年收入百分之六十的罚款；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（三）发生重大事故的，处上一年年收入百分之八十的罚款；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（四）发生特别重大事故的，处上一年年收入百分之一百的罚款。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《生产安全事故罚款处罚规定》第四条　本规定所称事故发生单位主要负责人、其他负责人、安全生产管理人员以及直接负责的主管人员、其他直接责任人员的上一年年收入，属于国有生产经营单位的，是指该单位上级主管部门所确定的上一年年收入总额；属于非国有生产经营单位的，是指经财务、税务部门核定的上一年年收入总额。</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生产经营单位提供虚假资料或者由于财务、税务部门无法核定等原因致使有关人员的上一年年收入难以确定的，按照下列办法确定：</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（一）主要负责人的上一年年收入，按照本省、自治区、直辖市上一年度城镇单位就业人员平均工资的5倍以上10倍以下计算；</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（二）其他负责人、安全生产管理人员以及直接负责的主管人员、其他直接责任人员的上一年年收入，按照本省、自治区、直辖市上一年度城镇单位就业人员平均工资的1倍以上5倍以下计算。</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发生一般事故。</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处上一年年收入百分之四十的罚款；生产经营单位提供虚假资料或者由于财务、税务部门无法核定等原因致使生产经营单位的主要负责人的上一年年收入难以确定的，按照本省上一年度职工平均工资的5倍以上7倍以下计算。</w:t>
            </w:r>
          </w:p>
        </w:tc>
        <w:tc>
          <w:tcPr>
            <w:tcW w:w="31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各县（市、区）应急管理局</w:t>
            </w:r>
          </w:p>
        </w:tc>
      </w:tr>
      <w:tr>
        <w:tblPrEx>
          <w:tblCellMar>
            <w:top w:w="0" w:type="dxa"/>
            <w:left w:w="108" w:type="dxa"/>
            <w:bottom w:w="0" w:type="dxa"/>
            <w:right w:w="108" w:type="dxa"/>
          </w:tblCellMar>
        </w:tblPrEx>
        <w:trPr>
          <w:trHeight w:val="388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发生较大事故。</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处上一年年收入百分之六十的罚款；生产经营单位提供虚假资料或者由于财务、税务部门无法核定等原因致使生产经营单位的主要负责人的上一年年收入难以确定的，按照本省上一年度职工平均工资的7倍以上8倍以下计算。</w:t>
            </w:r>
          </w:p>
        </w:tc>
        <w:tc>
          <w:tcPr>
            <w:tcW w:w="31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江门市应急管理局</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发生重大事故，上级指定管辖的。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处上一年年收入百分之八十的罚款；生产经营单位提供虚假资料或者由于财务、税务部门无法核定等原因致使生产经营单位的主要负责人的上一年年收入难以确定的，按照本省上一年度职工平均工资的8倍以上9倍以下计算。</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受指定管辖的应急管理部门</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发生特别重大事故，上级指定管辖的。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处上一年年收入百分之一百的罚款；生产经营单位提供虚假资料或者由于财务、税务部门无法核定等原因致使生产经营单位的主要负责人的上一年年收入难以确定的，按照本省上一年度职工平均工资的9倍以上10倍以下计算。</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21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6</w:t>
            </w:r>
          </w:p>
        </w:tc>
        <w:tc>
          <w:tcPr>
            <w:tcW w:w="37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生产经营单位的其他负责人和安全生产管理人员未履行</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《中华人民共和国安全生产法》规定的安全生产管理职责的行为的处罚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《中华人民共和国安全生产法》第二十五条：生产经营单位的安全生产管理机构以及安全生产管理人员履行下列职责：</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（一）组织或者参与拟订本单位安全生产规章制度、操作规程和生产安全事故应急救援预案；</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（二）组织或者参与本单位安全生产教育和培训，如实记录安全生产教育和培训情况；</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（三）组织开展危险源辨识和评估，督促落实本单位重大危险源的安全管理措施；</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（四）组织或者参与本单位应急救援演练；</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（五）检查本单位的安全生产状况，及时排查生产安全事故隐患，提出改进安全生产管理的建议；</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（六）制止和纠正违章指挥、强令冒险作业、违反操作规程的行为；</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（七）督促落实本单位安全生产整改措施。</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生产经营单位可以设置专职安全生产分管负责人，协助本单位主要负责人履行安全生产管理职责。</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六条：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p>
        </w:tc>
        <w:tc>
          <w:tcPr>
            <w:tcW w:w="73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存在1项职责未履行或者履行不到位的。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责令限期改正，对生产经营单位的其他负责人和安全生产管理人员处1万元以上2万元以下的罚款。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21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存在2项职责未履行或者履行不到位的。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责令限期改正，对生产经营单位的其他负责人和安全生产管理人员处2万元以上2.5万以下的罚款。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21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存在3项或以上职责未履行或者履行不到位的。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责令限期改正，对生产经营单位的其他负责人和安全生产管理人员处2.5万元以上3万元以下的罚款。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240" w:hRule="atLeast"/>
        </w:trPr>
        <w:tc>
          <w:tcPr>
            <w:tcW w:w="153"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7</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对生产经营单位的其他负责人和安全生产管理人员未履行《中华人民共和国安全生产法》规定的安全生产管理职责，导致发生生产安全事故行为的处罚</w:t>
            </w:r>
          </w:p>
        </w:tc>
        <w:tc>
          <w:tcPr>
            <w:tcW w:w="25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《中华人民共和国安全生产法》第二十五条</w:t>
            </w:r>
            <w:r>
              <w:rPr>
                <w:rFonts w:ascii="DejaVu Sans" w:hAnsi="DejaVu Sans" w:eastAsia="仿宋_GB2312" w:cs="DejaVu Sans"/>
                <w:kern w:val="0"/>
                <w:sz w:val="24"/>
                <w:szCs w:val="24"/>
              </w:rPr>
              <w:t> </w:t>
            </w:r>
            <w:r>
              <w:rPr>
                <w:rFonts w:hint="eastAsia" w:ascii="仿宋_GB2312" w:hAnsi="宋体" w:eastAsia="仿宋_GB2312" w:cs="宋体"/>
                <w:kern w:val="0"/>
                <w:sz w:val="24"/>
                <w:szCs w:val="24"/>
              </w:rPr>
              <w:t>生产经营单位的安全生产管理机构以及安全生产管理人员履行下列职责：</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（一）组织或者参与拟订本单位安全生产规章制度、操作规程和生产安全事故应急救援预案；</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（二）组织或者参与本单位安全生产教育和培训，如实记录安全生产教育和培训情况；</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（三）组织开展危险源辨识和评估，督促落实本单位重大危险源的安全管理措施；</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（四）组织或者参与本单位应急救援演练；</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（五）检查本单位的安全生产状况，及时排查生产安全事故隐患，提出改进安全生产管理的建议；</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（六）制止和纠正违章指挥、强令冒险作业、违反操作规程的行为；</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（七）督促落实本单位安全生产整改措施。</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生产经营单位可以设置专职安全生产分管负责人，协助本单位主要负责人履行安全生产管理职责。</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六条：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 xml:space="preserve">  《生产安全事故罚款处罚规定》第四条 本规定所称事故发生单位主要负责人、其他负责人、安全生产管理人员以及直接负责的主管人员、其他直接责任人员的上一年年收入，属于国有生产经营单位的，是指该单位上级主管部门所确定的上一年年收入总额；属于非国有生产经营单位的，是指经财务、税务部门核定的上一年年收入总额。</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 xml:space="preserve">  生产经营单位提供虚假资料或者由于财务、税务部门无法核定等原因致使有关人员的上一年年收入难以确定的，按照下列办法确定：</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（一）主要负责人的上一年年收入，按照本省、自治区、直辖市上一年度城镇单位就业人员平均工资的5倍以上10倍以下计算；</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（二）其他负责人、安全生产管理人员以及直接负责的主管人员、其他直接责任人员的上一年年收入，按照本省、自治区、直辖市上一年度城镇单位就业人员平均工资的1倍以上5倍以下计算。</w:t>
            </w:r>
          </w:p>
        </w:tc>
        <w:tc>
          <w:tcPr>
            <w:tcW w:w="73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导致发生生产安全事故的，暂停或者吊销其与安全生产有关的资格，并处上一年年收入百分之二十以上百分之五十以下的罚款；构成犯罪的，依照刑法有关规定追究刑事责任。</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（一）主要负责人的上一年年收入，按照本省、自治区、直辖市上一年度城镇单位就业人员平均工资的5倍以上10倍以下计算；</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（二）其他负责人、安全生产管理人员以及直接负责的主管人员、其他直接责任人员的上一年年收入，按照本省、自治区、直辖市上一年度城镇单位就业人员平均工资的1倍以上5倍以下计算。</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发生一般事故。</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暂停其与安全生产有关的资格，并处上一年年收入20％以上30％以下的罚款。生产经营单位提供虚假资料或者由于财务、税务部门无法核定等原因致使有关人员的上一年年收入难以确定的，按照本省上一年度城镇单位就业人员平均工资的1倍以上2倍以下计算。</w:t>
            </w:r>
          </w:p>
        </w:tc>
        <w:tc>
          <w:tcPr>
            <w:tcW w:w="31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各县（市、区）应急管理局</w:t>
            </w:r>
          </w:p>
        </w:tc>
      </w:tr>
      <w:tr>
        <w:tblPrEx>
          <w:tblCellMar>
            <w:top w:w="0" w:type="dxa"/>
            <w:left w:w="108" w:type="dxa"/>
            <w:bottom w:w="0" w:type="dxa"/>
            <w:right w:w="108" w:type="dxa"/>
          </w:tblCellMar>
        </w:tblPrEx>
        <w:trPr>
          <w:trHeight w:val="3240" w:hRule="atLeast"/>
        </w:trPr>
        <w:tc>
          <w:tcPr>
            <w:tcW w:w="153"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发生较大事故。</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吊销其与安全生产有关的资格，并处上一年年收入30％以上40％以下的罚款。生产经营单位提供虚假资料或者由于财务、税务部门无法核定等原因致使有关人员的上一年年收入难以确定的，按照本省上一年度城镇单位就业人员平均工资的2倍以上3倍以下计算。</w:t>
            </w:r>
          </w:p>
        </w:tc>
        <w:tc>
          <w:tcPr>
            <w:tcW w:w="31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江门市应急管理局</w:t>
            </w:r>
          </w:p>
        </w:tc>
      </w:tr>
      <w:tr>
        <w:tblPrEx>
          <w:tblCellMar>
            <w:top w:w="0" w:type="dxa"/>
            <w:left w:w="108" w:type="dxa"/>
            <w:bottom w:w="0" w:type="dxa"/>
            <w:right w:w="108" w:type="dxa"/>
          </w:tblCellMar>
        </w:tblPrEx>
        <w:trPr>
          <w:trHeight w:val="3240" w:hRule="atLeast"/>
        </w:trPr>
        <w:tc>
          <w:tcPr>
            <w:tcW w:w="153"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发生重大事故的，上级指定管辖的。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吊销其与安全生产有关的资格，并处上一年年收入40％以上45％以下的罚款。生产经营单位提供虚假资料或者由于财务、税务部门无法核定等原因致使有关人员的上一年年收入难以确定的，按照本省上一年度城镇单位就业人员平均工资的3倍以上4倍以下计算。</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受指定管辖的应急管理部门</w:t>
            </w:r>
          </w:p>
        </w:tc>
      </w:tr>
      <w:tr>
        <w:tblPrEx>
          <w:tblCellMar>
            <w:top w:w="0" w:type="dxa"/>
            <w:left w:w="108" w:type="dxa"/>
            <w:bottom w:w="0" w:type="dxa"/>
            <w:right w:w="108" w:type="dxa"/>
          </w:tblCellMar>
        </w:tblPrEx>
        <w:trPr>
          <w:trHeight w:val="3240" w:hRule="atLeast"/>
        </w:trPr>
        <w:tc>
          <w:tcPr>
            <w:tcW w:w="153"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发生特别重大事故，上级指定管辖的。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吊销其与安全生产有关的资格，并处上一年年收入45％以上50％以下的罚款。生产经营单位提供虚假资料或者由于财务、税务部门无法核定等原因致使有关人员的上一年年收入难以确定的，按照本省上一年度城镇单位就业人员平均工资的4倍以上5倍以下计算。</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24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8</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生产经营单位未按照规定设立安全生产管理机构或者配备安全生产管理人员的行为的处罚</w:t>
            </w:r>
          </w:p>
        </w:tc>
        <w:tc>
          <w:tcPr>
            <w:tcW w:w="259"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440278007000</w:t>
            </w:r>
          </w:p>
        </w:tc>
        <w:tc>
          <w:tcPr>
            <w:tcW w:w="826"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《中华人民共和国安全生产法》第二十四条：矿山、金属冶炼、建筑施工、运输单位和危险物品的生产、经营、储存、装卸单位，应当设置安全生产管理机构或者配备专职安全生产管理人员。</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前款规定以外的其他生产经营单位，从业人员超过一百人的，应当设置安全生产管理机构或者配备专职安全生产管理人员；从业人员在一百人以下的，应当配备专职或者兼职的安全生产管理人员。</w:t>
            </w:r>
          </w:p>
        </w:tc>
        <w:tc>
          <w:tcPr>
            <w:tcW w:w="930"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七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　　（一）未按照规定设置安全生产管理机构或者配备安全生产管理人员、注册安全工程师的；</w:t>
            </w:r>
          </w:p>
        </w:tc>
        <w:tc>
          <w:tcPr>
            <w:tcW w:w="736"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责令限期改正，处十万元以下的罚款；逾期未改正的，责令停产停业整顿，并处十万元以上二十万元以下的罚款，对其直接负责的主管人员和其他直接责任人员处二万元以上五万元以下的罚款。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除矿山、金属冶炼、建筑施工、运输单位和危险物品的生产、经营、储存、装卸单位以外的生产经营单位，从业人员总数在100人以下的，未配备专职或兼职安全生产管理人员的；或从业人员总数在100人以上300人以下未设置安全生产管理机构或配备专职安全生产管理人员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责令限期改正，处3万元以下的罚款；逾期未改正的，并处10万元以上13万元以下的罚款，对其直接负责的主管人员和其他直接责任人员处2万元以上2.5万元以下的罚款。</w:t>
            </w:r>
          </w:p>
        </w:tc>
        <w:tc>
          <w:tcPr>
            <w:tcW w:w="317"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除矿山、金属冶炼、建筑施工、运输单位和危险物品的生产、经营、储存、装卸单位以外的生产经营单位，从业人员总数300人以上500人以下，未设置安全生产管理机构或者未配备专职安全生产管理人员的。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责令限期改正，处3万元以上6万元以下的罚款；逾期未改正的，并处13万元以上16万元以下的罚款，对其直接负责的主管人员和其他直接责任人员处2.5万元以上3万元以下的罚款。</w:t>
            </w:r>
          </w:p>
        </w:tc>
        <w:tc>
          <w:tcPr>
            <w:tcW w:w="317"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矿山、金属冶炼、建筑施工、运输单位和危险物品的生产、经营、储存、装卸单位，未设置安全生产管理机构或者未配备专职安全生产管理人员的；或其他行业的生产经营单位从业人员总数500人以上的。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责令限期改正，处6万元以上8万元以下的罚款；逾期未改正的，并处16万元以上18万元以下的罚款，对其直接负责的主管人员和其他直接责任人员处3万元以上4万元以下的罚款。</w:t>
            </w:r>
          </w:p>
        </w:tc>
        <w:tc>
          <w:tcPr>
            <w:tcW w:w="317"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矿山、金属冶炼、建筑施工、运输单位和危险物品的生产、经营、储存、装卸单位，既未设置安全生产管理机构且未配备专职安全生产管理人员。</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责令限期改正，处8万元以上10万元以下的罚款；逾期未改正的，并处18万元以上20万元以下的罚款，对其直接负责的主管人员和其他直接责任人员处4万元以上5万元以下的罚款。</w:t>
            </w:r>
          </w:p>
        </w:tc>
        <w:tc>
          <w:tcPr>
            <w:tcW w:w="317"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9</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生产经营单位未按照规定配备注册安全工程师从事安全生产管理工作的行为的处罚</w:t>
            </w:r>
          </w:p>
        </w:tc>
        <w:tc>
          <w:tcPr>
            <w:tcW w:w="259"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二十七条：危险物品的生产、储存、装卸单位以及矿山、金属冶炼单位应当有注册安全工程师从事安全生产管理工作。鼓励其他生产经营单位聘用注册安全工程师从事安全生产管理工作。注册安全工程师按专业分类管理，具体办法由国务院人力资源和社会保障部门、国务院应急管理部门会同国务院有关部门制定。</w:t>
            </w:r>
          </w:p>
        </w:tc>
        <w:tc>
          <w:tcPr>
            <w:tcW w:w="930"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七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　　（一）未按照规定设置安全生产管理机构或者配备安全生产管理人员、注册安全工程师的；</w:t>
            </w:r>
          </w:p>
        </w:tc>
        <w:tc>
          <w:tcPr>
            <w:tcW w:w="736"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责令限期改正，处十万元以下的罚款；逾期未改正的，责令停产停业整顿，并处十万元以上二十万元以下的罚款，对其直接负责的主管人员和其他直接责任人员处二万元以上五万元以下的罚款。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危险物品的生产、储存、装卸单位以及矿山、金属冶炼单位，从业人员30人以下的，未按照规定配备注册安全工程师。</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责令限期改正，处3万元以下罚款；逾期未改正的，责令停产停业整顿，并处10万元以上13万元以下的罚款，对其直接负责的主管人员和其他直接责任人员处2万元以上3万元以下的罚款。</w:t>
            </w:r>
          </w:p>
        </w:tc>
        <w:tc>
          <w:tcPr>
            <w:tcW w:w="317"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危险物品的生产、储存、装卸单位以及矿山、金属冶炼单位，从业人员30人以上100以下的，未按照规定配备注册安全工程师。</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责令限期改正，处3万元以上7万元以下罚款；逾期未改正的，责令停产停业整顿，并处13万元以上17万元以下的罚款，对其直接负责的主管人员和其他直接责任人员处3万元以上4万元以下的罚款。</w:t>
            </w:r>
          </w:p>
        </w:tc>
        <w:tc>
          <w:tcPr>
            <w:tcW w:w="317"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危险物品的生产、储存、装卸单位以及矿山、金属冶炼单位，从业人员100人以上的，未按照规定配备注册安全工程师。</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责令限期改正，处7万元以上10万元以下罚款；逾期未改正的，责令停产停业整顿，并处17万元以上20万元以下的罚款，对其直接负责的主管人员和其他直接责任人员处4万元以上5万元以下的罚款。</w:t>
            </w:r>
          </w:p>
        </w:tc>
        <w:tc>
          <w:tcPr>
            <w:tcW w:w="317"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10</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危险物品的生产、经营、储存、装卸单位以及矿山、金属冶炼、建筑施工、运输单位的主要负责人和安全生产管理人员未按照规定经考核合格的行为的处罚</w:t>
            </w:r>
          </w:p>
        </w:tc>
        <w:tc>
          <w:tcPr>
            <w:tcW w:w="259"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440278007000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二十七条：危险物品的生产、经营、储存、装卸单位以及矿山、金属冶炼、建筑施工、运输单位的主要负责人和安全生产管理人员，应当由主管的负有安全生产监督管理职责的部门对其安全生产知识和管理能力考核合格。</w:t>
            </w:r>
          </w:p>
        </w:tc>
        <w:tc>
          <w:tcPr>
            <w:tcW w:w="930"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七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（二）危险物品的生产、经营、储存、装卸单位以及矿山、金属冶炼、建筑施工、运输单位的主要负责人和安全生产管理人员未按照规定经考核合格的；</w:t>
            </w:r>
          </w:p>
        </w:tc>
        <w:tc>
          <w:tcPr>
            <w:tcW w:w="736"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责令限期改正，处十万元以下的罚款；逾期未改正的，责令停产停业整顿，并处十万元以上二十万元以下的罚款，对其直接负责的主管人员和其他直接责任人员处二万元以上五万元以下的罚款。</w:t>
            </w:r>
          </w:p>
        </w:tc>
        <w:tc>
          <w:tcPr>
            <w:tcW w:w="277" w:type="pct"/>
            <w:tcBorders>
              <w:top w:val="nil"/>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危险物品的生产、经营、储存以及矿山、金属冶炼单位，有1名安全生产管理人员未按照规定经考核合格的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责令限期改正，处3万元以下的罚款；逾期未改正的，责令停产停业整顿，并处10万元以上13万元以下的罚款，对其直接负责的主管人员和其他直接责任人员处2万元以上3万元以下的罚款。</w:t>
            </w:r>
          </w:p>
        </w:tc>
        <w:tc>
          <w:tcPr>
            <w:tcW w:w="317"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single" w:color="auto" w:sz="4" w:space="0"/>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危险物品的生产、经营、储存以及矿山、金属冶炼单位，有2名或以上安全生产管理人员未按照规定经考核合格的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责令限期改正，处3万元以上7万元以下的罚款；逾期未改正的，责令停产停业整顿，并处13万元以上17万元以下的罚款，对其直接负责的主管人员和其他直接责任人员处3万元以上4万元以下的罚款。</w:t>
            </w:r>
          </w:p>
        </w:tc>
        <w:tc>
          <w:tcPr>
            <w:tcW w:w="317"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single" w:color="auto" w:sz="4" w:space="0"/>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危险物品的生产、经营、储存以及矿山、金属冶炼单位的主要负责人未按照规定经考核合格的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责令限期改正，处7万元以上10万元以下的罚款；逾期未改正的，责令停产停业整顿，并处17万元以上20万元以下的罚款，对其直接负责的主管人员和其他直接责任人员处4万元以上5万元以下的罚款</w:t>
            </w:r>
          </w:p>
        </w:tc>
        <w:tc>
          <w:tcPr>
            <w:tcW w:w="317"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11</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未按照规定对从业人员、被派遣劳动者、实习学生进行安全生产教育和培训的行为的处罚</w:t>
            </w:r>
          </w:p>
        </w:tc>
        <w:tc>
          <w:tcPr>
            <w:tcW w:w="259"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440278007000</w:t>
            </w:r>
          </w:p>
        </w:tc>
        <w:tc>
          <w:tcPr>
            <w:tcW w:w="82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二十八条：生产经营单位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生产经营单位使用被派遣劳动者的，应当将被派遣劳动者纳入本单位从业人员统一管理，对被派遣劳动者进行岗位安全操作规程和安全操作技能的教育和培训。劳务派遣单位应当对被派遣劳动者进行必要的安全生产教育和培训。</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生产经营单位接收中等职业学校、高等学校学生实习的，应当对实习学生进行相应的安全生产教育和培训，提供必要的劳动防护用品。学校应当协助生产经营单位对实习学生进行安全生产教育和培训。</w:t>
            </w:r>
          </w:p>
        </w:tc>
        <w:tc>
          <w:tcPr>
            <w:tcW w:w="930"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xml:space="preserve"> 《中华人民共和国安全生产法》第九十七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（三）未按照规定对从业人员、被派遣劳动者、实习学生进行安全生产教育和培训，或者未按照规定如实告知有关的安全生产事项的；</w:t>
            </w:r>
          </w:p>
        </w:tc>
        <w:tc>
          <w:tcPr>
            <w:tcW w:w="736"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责令限期改正，处十万元以下的罚款；逾期未改正的，责令停产停业整顿，并处十万元以上二十万元以下的罚款，对其直接负责的主管人员和其他直接责任人员处二万元以上五万元以下的罚款。</w:t>
            </w:r>
          </w:p>
        </w:tc>
        <w:tc>
          <w:tcPr>
            <w:tcW w:w="277" w:type="pct"/>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未按照规定进行安全生产教育和培训，涉及人数10人以下的。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责令限期改正，处3万元以下的罚款；逾期未改正的，责令停产停业整顿，并处10万元以上13万元以下的罚款，对其直接负责的主管人员和其他直接责任人员处2万元以上至3万元以下的罚款。</w:t>
            </w:r>
          </w:p>
        </w:tc>
        <w:tc>
          <w:tcPr>
            <w:tcW w:w="317" w:type="pct"/>
            <w:vMerge w:val="restart"/>
            <w:tcBorders>
              <w:top w:val="single" w:color="auto" w:sz="4" w:space="0"/>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未按照规定进行安全生产教育和培训，涉及人数10人以上30人以下的。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责令限期改正，处3万元以上7万元以下的罚款；逾期未改正的，责令停产停业整顿，并处13万元以上17万元以下的罚款，对其直接负责的主管人员和其他直接责任人员处3万元以上4万元以下的罚款。</w:t>
            </w:r>
          </w:p>
        </w:tc>
        <w:tc>
          <w:tcPr>
            <w:tcW w:w="317" w:type="pct"/>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未按照规定进行安全生产教育和培训，涉及人数30人以上的。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责令限期改正，处7万元以上10万元以下的罚款；逾期未改正的，责令停产停业整顿，并处17万元以上20万元以下的罚款，对其直接负责的主管人员和其他直接责任人员处4万元以上5万元以下的罚款。</w:t>
            </w:r>
          </w:p>
        </w:tc>
        <w:tc>
          <w:tcPr>
            <w:tcW w:w="317" w:type="pct"/>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363"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12</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未按照规定如实告知有关的安全生产事项的行为的处罚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440278007000</w:t>
            </w:r>
          </w:p>
        </w:tc>
        <w:tc>
          <w:tcPr>
            <w:tcW w:w="82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《中华人民共和国安全生产法》第四十四条：</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生产经营单位应当教育和督促从业人员严格执行本单位的安全生产规章制度和安全操作规程；并向从业人员如实告知作业场所和工作岗位存在的危险因素、防范措施以及事故</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应急措施。</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七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（三）未按照规定对从业人员、被派遣劳动者、实习学生进行安全生产教育和培训，或者未按照规定如实告知有关的安全生产事项的；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责令限期改正，处十万元以下的罚款；逾期未改正的，责令停产停业整顿，并处十万元以上二十万元以下的罚款，对其直接负责的主管人员和其他直接责任人员处二万元以上五万元以下的罚款。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未按照规定如实告知有关的安全生产事项的，涉及人数10人以下的。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责令限期改正，处3万元以下的罚款；逾期未改正的，责令停产停业整顿，并处10万元以上13万元以下的罚款，对其直接负责的主管人员和其他直接责任人员处2万元以上3万元以下的罚款。</w:t>
            </w:r>
          </w:p>
        </w:tc>
        <w:tc>
          <w:tcPr>
            <w:tcW w:w="317"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未按照规定如实告知有关的安全生产事项的，涉及人数10人以上30人以下的。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责令限期改正，处3万元以上7万元以下的罚款；逾期未改正的，责令停产停业整顿，并处13万元以上17万元以下的罚款，对其直接负责的主管人员和其他直接责任人员处3万元以上4万元以下的罚款。</w:t>
            </w:r>
          </w:p>
        </w:tc>
        <w:tc>
          <w:tcPr>
            <w:tcW w:w="317"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未按照规定如实告知有关的安全生产事项的，涉及人数30人以上的。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责令限期改正，处7万元以上10万元以下的罚款；逾期未改正的，责令停产停业整顿，并处17万元以上20万元以下的罚款，对其直接负责的主管人员和其他直接责任人员处4万元以上5万元以下的罚款。</w:t>
            </w:r>
          </w:p>
        </w:tc>
        <w:tc>
          <w:tcPr>
            <w:tcW w:w="317"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13</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未如实记录安全生产教育和培训情况的行为的处罚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440278007000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《中华人民共和国安全生产法》第二十八条：生产经营单位应当建立安全生产教育和培训档案，如实记录安全生产教育和培训的时间、内容、参加人员以及考核结果等情况。</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七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（四）未如实记录安全生产教育和培训情况的；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责令限期改正，处十万元以下的罚款；逾期未改正的，责令停产停业整顿，并处十万元以上二十万元以下的罚款，对其直接负责的主管人员和其他直接责任人员处二万元以上五万元以下的罚款。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未如实记录安全生产教育和培训情况的，涉及人数10人以下的。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责令限期改正，处3万元以下的罚款；逾期未改正的，责令停产停业整顿，并处10万元以上13万元以下的罚款，对其直接负责的主管人员和其他直接责任人员处2万元以上3万元以下的罚款。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未如实记录安全生产教育和培训情况的，涉及人数10人以上30人以下的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责令限期改正，处3万元以上7万元以下的罚款；逾期未改正的，责令停产停业整顿，并处13万元以上17万元以下的罚款，对其直接负责的主管人员和其他直接责任人员处3万元以上4万元以下的罚款。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未如实记录安全生产教育和培训情况的，涉及人数30人以上的。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责令限期改正，处7万元以上10万元以下的罚款；逾期未改正的，责令停产停业整顿，并处17万元以上20万元以下的罚款，对其直接负责的主管人员和其他直接责任人员处4万元以上5万元以下的罚款。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14</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未按照规定制定生产安全事故应急救援预案或者未定期组织演练的行为的处罚</w:t>
            </w:r>
          </w:p>
        </w:tc>
        <w:tc>
          <w:tcPr>
            <w:tcW w:w="259"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440278007000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《中华人民共和国安全生产法》第八十一条：生产经营单位应当制定本单位生产安全事故应急救援预案，与所在地县级以上地方人民政府组织制定的生产安全事故应急救援预案相衔接，并定期组织演练。</w:t>
            </w:r>
          </w:p>
        </w:tc>
        <w:tc>
          <w:tcPr>
            <w:tcW w:w="930"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七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六）未按照规定制定生产安全事故应急救援预案或者未定期组织演练的；</w:t>
            </w:r>
          </w:p>
        </w:tc>
        <w:tc>
          <w:tcPr>
            <w:tcW w:w="736"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责令限期改正，处十万元以下的罚款；逾期未改正的，责令停产停业整顿，并处十万元以上二十万元以下的罚款，对其直接负责的主管人员和其他直接责任人员处二万元以上五万元以下的罚款。</w:t>
            </w:r>
          </w:p>
        </w:tc>
        <w:tc>
          <w:tcPr>
            <w:tcW w:w="277" w:type="pct"/>
            <w:tcBorders>
              <w:top w:val="nil"/>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未按规定制定应急预案，但已开展演练</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责令限期改正，处3万元以下的罚款；逾期未改正的，责令停产停业整顿，并处10万元以上13万元以下的罚款，对其直接负责的主管人员和其他直接责任人员处2万元以上3万元以下的罚款。</w:t>
            </w:r>
          </w:p>
        </w:tc>
        <w:tc>
          <w:tcPr>
            <w:tcW w:w="317"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已按规定制定应急预案，但未开展演练</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责令限期改正，处3万元以上7万元以下的罚款；逾期未改正的，责令停产停业整顿，并处13万元以上17万元以下的罚款，对其直接负责的主管人员和其他直接责任人员处3万元以上4元以下的罚款。</w:t>
            </w:r>
          </w:p>
        </w:tc>
        <w:tc>
          <w:tcPr>
            <w:tcW w:w="317"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未按规定制定应急预案且未开展演练</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责令限期改正，处7万元以上10万元以下的罚款；逾期未改正的，责令停产停业整顿，并处17万元以上20万元以下的罚款，对其直接负责的主管人员和其他直接责任人员处4万元以上5万元以下的罚款。</w:t>
            </w:r>
          </w:p>
        </w:tc>
        <w:tc>
          <w:tcPr>
            <w:tcW w:w="317"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58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15</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特种作业人员未按照规定经专门的安全作业培训并取得相应资格，上岗作业的行为的处罚</w:t>
            </w:r>
          </w:p>
        </w:tc>
        <w:tc>
          <w:tcPr>
            <w:tcW w:w="259"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440278007000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《中华人民共和国安全生产法》第三十条：生产经营单位的特种作业人员必须按照国家有关规定经专门的安全作业培训，取得相应资格，方可上岗作业。</w:t>
            </w:r>
          </w:p>
        </w:tc>
        <w:tc>
          <w:tcPr>
            <w:tcW w:w="930"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七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七）特种作业人员未按照规定经专门的安全作业培训并取得相应资格，上岗作业的。</w:t>
            </w:r>
          </w:p>
        </w:tc>
        <w:tc>
          <w:tcPr>
            <w:tcW w:w="736"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责令限期改正，处十万元以下的罚款；逾期未改正的，责令停产停业整顿，并处十万元以上二十万元以下的罚款，对其直接负责的主管人员和其他直接责任人员处二万元以上五万元以下的罚款。</w:t>
            </w:r>
          </w:p>
        </w:tc>
        <w:tc>
          <w:tcPr>
            <w:tcW w:w="277" w:type="pct"/>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有1名从事特种作业的人员未按照规定经专门的安全作业培训并取得相应资格，上岗作业的。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责令限期改正，处3万元以下的罚款；逾期未改正的，责令停产停业整顿，并处10万元以上13万元以上的罚款，对其直接负责的主管人员和其他直接责任人员处2万元以上3万元以下的罚款</w:t>
            </w:r>
          </w:p>
        </w:tc>
        <w:tc>
          <w:tcPr>
            <w:tcW w:w="317"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3247"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有2名以上6名以下从事特种作业的人员未按照规定经专门的安全作业培训并取得相应资格，上岗作业的。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责令限期改正，处3万元以上7万元以下的罚款；逾期未改正的，责令停产停业整顿，并处13万元以上17万元以下的罚款，对其直接负责的主管人员和其他直接责任人员处3万元以上4万元以下的罚款。</w:t>
            </w:r>
          </w:p>
        </w:tc>
        <w:tc>
          <w:tcPr>
            <w:tcW w:w="317"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6名或以上从事特种作业的人员未按照规定经专门的安全作业培训并取得相应资格，上岗作业的。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责令限期改正，处7万元以上10万元以下的罚款；逾期未改正的，责令停产停业整顿，并处17万元以上20万元以下的罚款，对其直接负责的主管人员和其他直接责任人员处4万元以上5万元以下的罚款。</w:t>
            </w:r>
          </w:p>
        </w:tc>
        <w:tc>
          <w:tcPr>
            <w:tcW w:w="317"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64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16</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未按照规定对矿山、金属冶炼建设项目或者用于生产、储存、装卸危险物品的建设项目进行安全评价的行为的处罚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440278008000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《中华人民共和国安全生产法》第三十二条：矿山、金属冶炼建设项目和用于生产、储存、装卸危险物品的建设项目，应当按照国家有关规定进行安全评价。</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八条：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一）未按照规定对矿山、金属冶炼建设项目或者用于生产、储存、装卸危险物品的建设项目进行安全评价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建设项目总投资额人民币1000万元以下的。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或者停产停业整顿，限期改正，并处10万元以上25万元以下的罚款，对其直接负责的主管人员和其他直接责任人员处2万元以上3万元以下的罚款；逾期未改正的，处50万元以上65万元以下的罚款，对其直接负责的主管人员和其他直接责任人员处5万元以上6.5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364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建设项目总投资额人民币1000万元以上3000万元以下的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或者停产停业整顿，限期改正，处25万元以上40万元以下的罚款，对其直接负责的主管人员和其他直接责任人员处3万元以上4万元以下的罚款；逾期未改正的，处65万元以上85万元以下的罚款，对其直接负责的主管人员和其他直接责任人员处6.5万元以上8.5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64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建设项目总投资额人民币3000万元以上的。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或者停产停业整顿，限期改正，处40万元以上50万元以下的罚款，对其直接负责的主管人员和其他直接责任人员处4万元以上5万元以下的罚款；逾期未改正的，处85万元以上100万元以下的罚款，对其直接负责的主管人员和其他直接责任人员处8.5万元以上10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64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17</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矿山、金属冶炼建设项目或者用于生产、储存、装卸危险物品的建设项目没有安全设施设计或者安全设施设计未按照规定报经有关部门审查同意的行为的处罚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440278008000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三十三条：建设项目安全设施的设计人、设计单位应当对安全设施设计负责。矿山、金属冶炼建设项目和用于生产、储存、装卸危险物品的建设项目的安全设施设计应当按照国家有关规定报经有关部门审查，审查部门及其负责审查的人员对审查结果负责。</w:t>
            </w:r>
            <w:r>
              <w:rPr>
                <w:rFonts w:eastAsia="仿宋_GB2312"/>
                <w:kern w:val="0"/>
                <w:sz w:val="24"/>
                <w:szCs w:val="24"/>
              </w:rPr>
              <w:t> </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八条：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二）矿山、金属冶炼建设项目或者用于生产、储存、装卸危险物品的建设项目没有安全设施设计或者安全设施设计未按照规定报经有关部门审查同意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建设项目总投资额人民币1000万元以下的。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或者停产停业整顿，限期改正，并处10万元以上25万元以下的罚款，对其直接负责的主管人员和其他直接责任人员处2万元以上3万元以下的罚款；逾期未改正的，处50万元以上65万元以下的罚款，对其直接负责的主管人员和其他直接责任人员处5万元以上6.5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364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建设项目总投资额人民币1000万元以上3000万元以下的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或者停产停业整顿，限期改正，并处25万元以上40万元以下的罚款，对其直接负责的主管人员和其他直接责任人员处3万元以上4万元以下的罚款；逾期未改正的，处65万元以上85万元以下的罚款，对其直接负责的主管人员和其他直接责任人员处6.5万元以上8.5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64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建设项目总投资额人民币3000万元以上的。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或者停产停业整顿，限期改正，处40万元以上50万元以下的罚款，对其直接负责的主管人员和其他直接责任人员处4万元以上5万元以下的罚款；逾期未改正的，处85万元以上100万元以下的罚款，对其直接负责的主管人员和其他直接责任人员处8.5万元以上10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64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18</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矿山、金属冶炼建设项目或者用于生产、储存、装卸危险物品的建设项目的施工单位未按照批准的安全设施设计施工的行为的处罚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440278008000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《中华人民共和国安全生产法》第三十四条第一款：矿山、金属冶炼建设项目和用于生产、储存、装卸危险物品的建设项目的施工单位必须按照批准的安全设施设计施工，并对安全设施的工程质量负责。</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八条：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三）矿山、金属冶炼建设项目或者用于生产、储存、装卸危险物品的建设项目的施工单位未按照批准的安全设施设计施工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建设项目总投资额人民币1000万元以下的。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或者停产停业整顿，限期改正，并处10万元以上25万元以下的罚款，对其直接负责的主管人员和其他直接责任人员处2万元以上3万元以下的罚款；逾期未改正的，处50万元以上65万元以下的罚款，对其直接负责的主管人员和其他直接责任人员处5万元以上6.5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364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建设项目总投资额人民币1000万元以上3000万元以下的。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或者停产停业整顿，限期改正，并处25万元以上40万元以下的罚款，对其直接负责的主管人员和其他直接责任人员处3万元以上4万元以下的罚款；逾期未改正的，处65万元以上85万元以下的罚款，对其直接负责的主管人员和其他直接责任人员处6.5万元以上8.5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64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建设项目总投资额人民币3000万元以上的。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或者停产停业整顿，限期改正，处40万元以上50万元以下的罚款，对其直接负责的主管人员和其他直接责任人员处4万元以上5万元以下的罚款；逾期未改正的，处85万元以上100万元以下的罚款，对其直接负责的主管人员和其他直接责任人员处8.5万元以上10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64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19</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矿山、金属冶炼建设项目或者用于生产、储存、装卸危险物品的建设项目竣工投入生产或者使用前，安全设施未经验收合格的行为的处罚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440278008000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《中华人民共和国安全生产法》第三十四条第二款：矿山、金属冶炼建设项目和用于生产、储存、装卸危险物品的建设项目竣工投入生产或者使用前，应当由建设单位负责组织对安全设施进行验收；验收合格后， 方可投入生产和使用。负有安全生产监督管理职责的部门应当加强对建设单位验收活动和验收结果的监督核查。</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八条：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四）矿山、金属冶炼建设项目或者用于生产、储存、装卸危险物品的建设项目竣工投入生产或者使用前，安全设施未经验收合格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建设项目总投资额人民币1000万元以下的。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或者停产停业整顿，限期改正，并处10万元以上25万元以下的罚款，对其直接负责的主管人员和其他直接责任人员处2万元以上3万元以下的罚款；逾期未改正的，处50万元以上65万元以下的罚款，对其直接负责的主管人员和其他直接责任人员处5万元以上6.5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364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建设项目总投资额人民币1000万元以上3000万元以下的。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或者停产停业整顿，限期改正，并处25万元以上40万元以下的罚款，对其直接负责的主管人员和其他直接责任人员处3万元以上4万元以下的罚款；逾期未改正的，处65万元以上85万元以下的罚款，对其直接负责的主管人员和其他直接责任人员处6.5万元以上8.5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64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建设项目总投资额人民币3000万元以上的。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或者停产停业整顿，限期改正，处40万元以上50万元以下的罚款，对其直接负责的主管人员和其他直接责任人员处4万元以上5万元以下的罚款；逾期未改正的，处85万元以上100万元以下的罚款，对其直接负责的主管人员和其他直接责任人员处8.5万元以上10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38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20</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未在有较大危险因素的生产经营场所和有关设施、设备上设置明显的安全警示标志的行为的处罚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440278009000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《中华人民共和国安全生产法》第三十五条：　生产经营单位应当在有较大危险因素的生产经营场所和有关设施、设备上，设置明显的安全警示标志。</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九条：生产经营单位有下列行为之一的，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　（一）未在有较大危险因素的生产经营场所和有关设施、设备上设置明显的安全警示标志的；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未在有较大危险因素的生产经营场所和有关设施、设备上设置明显的安全警示标志，有3处以下的。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责令限期改正，处1.5万元以下的罚款；逾期未改正的，处5万元以上10万元以下的罚款，对其直接负责的主管人员和其他直接责任人员处1万元以上1.3万元以下的罚款；情节严重的，责令停产停业整顿。</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未在有较大危险因素的生产经营场所和有关设施、设备上设置明显的安全警示标志，有3处以上6处以下的。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上3.5万元以下的罚款；逾期未改正的，处10万元以上15万元以下的罚款，对其直接负责的主管人员和其他直接责任人员处1.3万元以上1.7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未在有较大危险因素的生产经营场所和有关设施、设备上设置明显的安全警示标志，有6处或以上的。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责令限期改正，处3.5万元以上5万元以下的罚款；逾期未改正的，处15万元以上20万元以下的罚款，对其直接负责的主管人员和其他直接责任人员处1.7万元以上2万元以下的罚款；情节严重的，责令停产停业整顿。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21</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安全设备的安装、使用、检测、改造和报废不符合国家标准或者行业标准的行为的处罚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440278009000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《中华人民共和国安全生产法》第三十六条第一款：安全设备的设计、制造、安装、使用、检测、维修、改造和报废，应当符合国家标准或者行业标准。</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九条：生产经营单位有下列行为之一的，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二）安全设备的安装、使用、检测、改造和报废不符合国家标准或者行业标准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有3台（套）以下安全设备的安装、使用、检测、改造和报废不符合国家标准或者行业标准的。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责令限期改正，处1.5万元以下的罚款；逾期未改正的，处5万元以上10万元以下的罚款，对其直接负责的主管人员和其他直接责任人员处1万元以上1.3万元以下的罚款，情节严重的，责令停产停业整顿。</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有3台（套）以上6台（套）以下安全设备的安装、使用、检测、改造和报废不符合国家标准或者行业标准的。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上3.5万元以下的罚敖；逾期未改正的，处10万元以上15万元以下的罚款，对其直接负责的主管人员和其他直接责任人员处1.3万元以上1.7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有6台（套）或以上安全设备的安装、使用、检测、改造和报废不符合国家标准或者行业标准的。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责令限期改正，处3.5万元以上5万元以下的罚款；逾期未改正的，处15万元以上20万元以下的罚款，对其直接负责的主管人员和其他直接责任人员处1.7万元以上2万元以下的罚款，情节严重的，责令停产停业整顿。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22</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未对安全设备进行经常性维护、保养和定期检测的</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440278009000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《中华人民共和国安全生产法》第三十六条第二款：生产经营单位必须对安全设备进行经常性维护、保养，并定期检测，保证正常运转。维护、保养、检测应当作好记录，并由有关人员签字。</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九条：生产经营单位有下列行为之一的，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三）未对安全设备进行经常性维护、保养和定期检测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未对安全设备进行经常性维护、保养和定期检测，有3台（套）以下的。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责令限期改正，处1.5万元以下的罚款；逾期未改正的，处5万元以上10万元以下的罚款，对其直接负责的主管人员和其他直接责任人员处1万元以上1.3万元以下的罚款，情节严重的，责令停产停业整顿。</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未对安全设备进行经常性维护、保养和定期检测，有3台（套）以上6台（套）以下的。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上3.5万元以下的罚敖；逾期未改正的，处10万元以上15万元以下的罚款，对其直接负责的主管人员和其他直接责任人员处1.3万元以上1.7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未对安全设备进行经常性维护、保养和定期检测，有6台（套）或以上的。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责令限期改正，处3.5万元以上5万元以下的罚款；逾期未改正的，处15万元以上20万元以下的罚款，对其直接负责的主管人员和其他直接责任人员处1.7万元以上2万元以下的罚款，情节严重的，责令停产停业整顿。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23</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关闭、破坏直接关系生产安全的监控、报警、防护、救生设备、设施，或者篡改、隐瞒、销毁其相关数据、信息的行为的处罚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440278009000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《中华人民共和国安全生产法》第三十六条第三款：生产经营单位不得关闭、破坏直接关系生产安全的监控、报警、防护、救生设备、设施，或者篡改、隐瞒、销毁其相关数据、信息。</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九条：生产经营单位有下列行为之一的，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四）关闭、破坏直接关系生产安全的监控、报警、防护、救生设备、设施，或者篡改、隐瞒、销毁其相关数据、信息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关闭、破坏直接关系生产安全的监控、报警、防护、救生设备、设施1台（套）的或篡改、隐瞒、销毁直接关系生产安全相关数据、信息1条的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责令限期改正，处1.5万元以下的罚款；逾期未改正的，处5万元以上10万元以下的罚款，对其直接负责的主管人员和其他直接责任人员处1万元以上1.3万元以下的罚款，情节严重的，</w:t>
            </w:r>
            <w:r>
              <w:rPr>
                <w:rFonts w:hint="eastAsia" w:ascii="仿宋_GB2312" w:hAnsi="宋体" w:eastAsia="仿宋_GB2312" w:cs="宋体"/>
                <w:kern w:val="0"/>
                <w:sz w:val="24"/>
                <w:szCs w:val="24"/>
                <w:lang w:eastAsia="zh-CN"/>
              </w:rPr>
              <w:t>责</w:t>
            </w:r>
            <w:r>
              <w:rPr>
                <w:rFonts w:hint="eastAsia" w:ascii="仿宋_GB2312" w:hAnsi="宋体" w:eastAsia="仿宋_GB2312" w:cs="宋体"/>
                <w:kern w:val="0"/>
                <w:sz w:val="24"/>
                <w:szCs w:val="24"/>
              </w:rPr>
              <w:t>令停产停业整顿。</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关闭、破坏直接关系生产安全的监控、报警、防护、救生设备、设施2台（套）的或篡改、隐瞒、销毁直接关系生产安全相关数据、信息2条的。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责令限期改正，处1.5万元以上3.5万元以下的罚款；逾期未改正的，处10万元以上15万元以下的罚款，对其直接负</w:t>
            </w:r>
            <w:r>
              <w:rPr>
                <w:rFonts w:hint="eastAsia" w:ascii="仿宋_GB2312" w:hAnsi="宋体" w:eastAsia="仿宋_GB2312" w:cs="宋体"/>
                <w:kern w:val="0"/>
                <w:sz w:val="24"/>
                <w:szCs w:val="24"/>
                <w:lang w:eastAsia="zh-CN"/>
              </w:rPr>
              <w:t>责</w:t>
            </w:r>
            <w:r>
              <w:rPr>
                <w:rFonts w:hint="eastAsia" w:ascii="仿宋_GB2312" w:hAnsi="宋体" w:eastAsia="仿宋_GB2312" w:cs="宋体"/>
                <w:kern w:val="0"/>
                <w:sz w:val="24"/>
                <w:szCs w:val="24"/>
              </w:rPr>
              <w:t>的主管人员和其他直接责任人员处1.3万元以上1.7万元以下的罚款，情节严重的，责令停产停业整顿。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关闭、破坏直接关系生产安全的监控、报警、防护、救生设备、设施3台（套）或以上，或篡改、隐瞒、销毁直接关系生产安全相关数据、信息3条或以上的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责令限期改正，处3.5万元以上5万元以下的罚款；逾期未改正的，处15万元以上20万元以下的罚款，对其直接负</w:t>
            </w:r>
            <w:r>
              <w:rPr>
                <w:rFonts w:hint="eastAsia" w:ascii="仿宋_GB2312" w:hAnsi="宋体" w:eastAsia="仿宋_GB2312" w:cs="宋体"/>
                <w:kern w:val="0"/>
                <w:sz w:val="24"/>
                <w:szCs w:val="24"/>
                <w:lang w:eastAsia="zh-CN"/>
              </w:rPr>
              <w:t>责</w:t>
            </w:r>
            <w:r>
              <w:rPr>
                <w:rFonts w:hint="eastAsia" w:ascii="仿宋_GB2312" w:hAnsi="宋体" w:eastAsia="仿宋_GB2312" w:cs="宋体"/>
                <w:kern w:val="0"/>
                <w:sz w:val="24"/>
                <w:szCs w:val="24"/>
              </w:rPr>
              <w:t>的主管人员和其他直接责任人员处1.7万元以上2万元以下的罚款，情节严重的，责令停产停业整顿。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24</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未为从业人员提供符合国家标准或者行业标准的劳动防护用品的行为的处罚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440278009000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《中华人民共和国安全生产法》第四十五条：生产经营单位必须为从业人员提供符合国家标准或者行业标准的劳动防护用品，并监督、教育从业人员按照使用规则佩戴、使用。</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九条：生产经营单位有下列行为之一的，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五）未为从业人员提供符合国家标准或者行业标准的劳动防护用品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未为3名以下从业人员提供符合国家标准或者行业标准的劳动防护用品的。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责令限期改正，处1.5万元以下的罚款；逾期未改正的，处5万元以上10万元以下的罚款，对其直接负责的主管人员和其他直接责任人员处1万元以上1.3万元以下的罚款，情节严重的，责令停产停业整顿。</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未为3名以上10名以下从业人员提供符合国家标准或者行业标准的劳动防护用品的。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上3.5万元以下的罚款；逾期未改正的，处10万元以上15万元以下的罚款，对其直接负责的主管人员和其他直接责任人员处1.3万元以上1.7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未为10名或以上从业人员提供符合国家标准或者行业标准的劳动防护用品的。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责令限期改正，处3.5万元以上5万元以下的罚款；逾期未改正的，处15万元以上20万元以下的罚款，对其直接负责的主管人员和其他直接</w:t>
            </w:r>
            <w:r>
              <w:rPr>
                <w:rFonts w:hint="eastAsia" w:ascii="仿宋_GB2312" w:hAnsi="宋体" w:eastAsia="仿宋_GB2312" w:cs="宋体"/>
                <w:kern w:val="0"/>
                <w:sz w:val="24"/>
                <w:szCs w:val="24"/>
                <w:lang w:eastAsia="zh-CN"/>
              </w:rPr>
              <w:t>责</w:t>
            </w:r>
            <w:r>
              <w:rPr>
                <w:rFonts w:hint="eastAsia" w:ascii="仿宋_GB2312" w:hAnsi="宋体" w:eastAsia="仿宋_GB2312" w:cs="宋体"/>
                <w:kern w:val="0"/>
                <w:sz w:val="24"/>
                <w:szCs w:val="24"/>
              </w:rPr>
              <w:t>任人员处1.7万元以上2万元以下的罚款，情节严重的，责令停产停业整顿。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25</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危险物品的容器、运输工具，以及涉及人身安全、危险性较大的海洋石油开采特种设备和矿山井下特种设备未经具有专业资质的机构检测、检验合格，取得安全使用证或者安全标志，投入使用的行为的处罚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440278009000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三十七条：生产经营单位使用的危险物品的容器、运输工具，以及涉及人身安全、危险性较大的海洋石油开采特种设备和矿山井下特种设备，必须按照国家有关规定，由专业生产单位生产，并经具有专业资质的检测、检验机构检测、检验合格，取得安全使用证或者安全标志，方可投入使用。检测、检验机构对检测、检验结果负责。</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九条：生产经营单位有下列行为之一的，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六）危险物品的容器、运输工具，以及涉及人身安全、危险性较大的海洋石油开采特种设备和矿山井下特种设备未经具有专业资质的机构检测、检验合格，取得安全使用证或者安全标志，投入使用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3台（套）以下，危险物品的容器、运输工具，以及涉及人身安全、危险性较大的海洋石油开采特种设备和矿山井下特种设备未经具有专业资质的机构检测、检验合格，取得安全使用证或者安全标志，投入使用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责令限期改正，处1.5万元以下的罚款；逾期未改正的，处5万元以上10万元以下的罚款对其直接负责的主管人员和其他直接责任人员处1万元以上1.3万元以下的罚款；情节严重的，责令停产停业整顿。</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3台（套）以上6台（套）以下，危险物品的容器、运输工具，以及涉及人身安全、危险性较大的海洋石油开采特种设备和矿山井下特种设备未经具有专业资质的机构检测、检验合格，取得安全使用证或者安全标志，投入使用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责令限期改正，处1.5万元以上3.5万元以下的罚款；逾期未改正的，处10万元以上15万元以下的罚款对其直接负</w:t>
            </w:r>
            <w:r>
              <w:rPr>
                <w:rFonts w:hint="eastAsia" w:ascii="仿宋_GB2312" w:hAnsi="宋体" w:eastAsia="仿宋_GB2312" w:cs="宋体"/>
                <w:kern w:val="0"/>
                <w:sz w:val="24"/>
                <w:szCs w:val="24"/>
                <w:lang w:eastAsia="zh-CN"/>
              </w:rPr>
              <w:t>责</w:t>
            </w:r>
            <w:r>
              <w:rPr>
                <w:rFonts w:hint="eastAsia" w:ascii="仿宋_GB2312" w:hAnsi="宋体" w:eastAsia="仿宋_GB2312" w:cs="宋体"/>
                <w:kern w:val="0"/>
                <w:sz w:val="24"/>
                <w:szCs w:val="24"/>
              </w:rPr>
              <w:t>的主管人员和其他直接责任人员处1.3万元以上1.7万元以下的罚款；情节严重的，责令停产停业整顿。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6台（套）或以上，危险物品的容器、运输工具，以及涉及人身安全、危险性较大的海洋石油开采特种设备和矿山井下特种设备未经具有专业资质的机构检测、检验合格，取得安全使用证或者安全标志，投入使用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责令限期改正，处3.5万元以上5万元以下的罚款；逾期未改正的，处15万元以上20万元以下的罚款，对其直接负责的主管人员和其他直接责任人员处1.7万元以上2万元以下的罚款；情节严重的，责令产停业整顿。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874"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26</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未将事故隐患排查治理情况如实记录或者未向从业人员通报的行为的处罚</w:t>
            </w:r>
          </w:p>
        </w:tc>
        <w:tc>
          <w:tcPr>
            <w:tcW w:w="259"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440278007000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四十一条：生产经营单位应当建立健全并落实生产安全事故隐患排查治理制度，采取技术、管理措施，及时发现并消除事故隐患。事故隐患排查治理情况应当如实记录，并通过职工大会或者职工代表大会、信息公示栏等方式向从业人员通报。其中，重大事故隐患排查治理情况应当及时向负有安全生产监督管理职责的部门和职工大会或者职工代表大会报告。</w:t>
            </w:r>
          </w:p>
        </w:tc>
        <w:tc>
          <w:tcPr>
            <w:tcW w:w="930"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七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　（五）未将事故隐患排查治理情况如实记录或者未向从业人员通报的；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责令限期改正，处十万元以下的罚款；逾期未改正的，责令停产停业整顿，并处十万元以上二十万元以下的罚款，对其直接负责的主管人员和其他直接责任人员处二万元以上五万元以下的罚款。</w:t>
            </w:r>
          </w:p>
        </w:tc>
        <w:tc>
          <w:tcPr>
            <w:tcW w:w="277" w:type="pct"/>
            <w:tcBorders>
              <w:top w:val="nil"/>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生产经营单位从业人员50人以下，未将事故隐患排查治理情况如实记录或者未向从业人员通报的。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责令限期改正，处3万元以下的罚款；逾期未改正的，责令停产停业整顿，并处10万元以上13万元以下的罚款，对其直接负责的主管人员和其他直接责任人员处2万元以上3万元以下的罚款</w:t>
            </w:r>
          </w:p>
        </w:tc>
        <w:tc>
          <w:tcPr>
            <w:tcW w:w="317"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single" w:color="auto" w:sz="4" w:space="0"/>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生产经营单位从业人员50人以上100人以下，未将事故隐患排查治理情况如实记录或者未向从业人员通报的。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责令限期改正，处3万元以上7万元以下的罚款；逾期未改正的，责令停产停业整顿，并处13万元以上17万元以下的罚款，对其直接负责的主管人员和其他直接责任人员处3万元以上4万元以下的罚款。</w:t>
            </w:r>
          </w:p>
        </w:tc>
        <w:tc>
          <w:tcPr>
            <w:tcW w:w="317"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single" w:color="auto" w:sz="4" w:space="0"/>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生产经营单位从业人员100人以上，未将事故隐患排查治理情况如实记录或者未向从业人员通报的。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责令限期改正，处7万元以上10万元以下的罚款；逾期未改正的，责令停产停业整顿，并处17万元以上20万元以下的罚款，对其直接负责的主管人员和其他直接责任人员处4万元以上5万元以下的罚款。</w:t>
            </w:r>
          </w:p>
        </w:tc>
        <w:tc>
          <w:tcPr>
            <w:tcW w:w="317"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27</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使用应当淘汰的危及生产安全的工艺、设备的</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440278009000</w:t>
            </w:r>
          </w:p>
        </w:tc>
        <w:tc>
          <w:tcPr>
            <w:tcW w:w="82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三十八条：国家对严重危及生产安全的工艺、设备实行淘汰制度，具体目录由国务院应急管理部门会同国务院有关部门制定并公布。法律、行政法规对目录的制定另有规定的，适用其规定。省、自治区、直辖市人民政府可以根据本地区实际情况制定并公布具体目录，对前款规定以外的危及生产安全的工艺、设备予以淘汰。生产经营单位不得使用应当淘汰的危及生产安全的工艺、设备。</w:t>
            </w:r>
          </w:p>
        </w:tc>
        <w:tc>
          <w:tcPr>
            <w:tcW w:w="93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九十九条：生产经营单位有下列行为之一的，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七）使用应当淘汰的危及生产安全的工艺、设备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277" w:type="pct"/>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使用1台（套、种）应当淘汰的危及生产安全的工艺、设备的。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责令限期改正，处1.5万元以下的罚款；逾期未改正的，处5万元以上10万元以下的罚款，对其直接负责的主管人员和其他直接</w:t>
            </w:r>
            <w:r>
              <w:rPr>
                <w:rFonts w:hint="eastAsia" w:ascii="仿宋_GB2312" w:hAnsi="宋体" w:eastAsia="仿宋_GB2312" w:cs="宋体"/>
                <w:kern w:val="0"/>
                <w:sz w:val="24"/>
                <w:szCs w:val="24"/>
                <w:lang w:eastAsia="zh-CN"/>
              </w:rPr>
              <w:t>责</w:t>
            </w:r>
            <w:r>
              <w:rPr>
                <w:rFonts w:hint="eastAsia" w:ascii="仿宋_GB2312" w:hAnsi="宋体" w:eastAsia="仿宋_GB2312" w:cs="宋体"/>
                <w:kern w:val="0"/>
                <w:sz w:val="24"/>
                <w:szCs w:val="24"/>
              </w:rPr>
              <w:t>任人员处1万元以上1.3万元以下的罚款，情节严重的责令停产停业整顿。</w:t>
            </w:r>
          </w:p>
        </w:tc>
        <w:tc>
          <w:tcPr>
            <w:tcW w:w="317"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使用2台（套、种）应当淘汰的危及生产安全的工艺、设备的。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责令限期改正，处1.5万元以上3.5万元以下的罚款；逾期未改正的，处10万元以上15万元以下的罚款，对其直接负责的主管人员和其他直接</w:t>
            </w:r>
            <w:r>
              <w:rPr>
                <w:rFonts w:hint="eastAsia" w:ascii="仿宋_GB2312" w:hAnsi="宋体" w:eastAsia="仿宋_GB2312" w:cs="宋体"/>
                <w:kern w:val="0"/>
                <w:sz w:val="24"/>
                <w:szCs w:val="24"/>
                <w:lang w:eastAsia="zh-CN"/>
              </w:rPr>
              <w:t>责</w:t>
            </w:r>
            <w:r>
              <w:rPr>
                <w:rFonts w:hint="eastAsia" w:ascii="仿宋_GB2312" w:hAnsi="宋体" w:eastAsia="仿宋_GB2312" w:cs="宋体"/>
                <w:kern w:val="0"/>
                <w:sz w:val="24"/>
                <w:szCs w:val="24"/>
              </w:rPr>
              <w:t>任人员处1.3万元以上1.7万元以下的罚款，情节严重的，责令停产停业整顿。</w:t>
            </w:r>
          </w:p>
        </w:tc>
        <w:tc>
          <w:tcPr>
            <w:tcW w:w="317"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使用3台（套、种）及以上应当淘汰的危及生产安全的工艺、设备的。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责令限期改正，处3.5万元以上5万元以下的罚款；逾期未改正的，处15万元以上20万元以下的罚款，对其直接负责的主管人员和其他直接责任人员处1.7万元以上2万元以下的罚款，情节严重的，责令停产停业整顿。</w:t>
            </w:r>
          </w:p>
        </w:tc>
        <w:tc>
          <w:tcPr>
            <w:tcW w:w="317"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28</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生产、经营、运输、储存、使用危险物品或者处置废弃危险物品，未建立专门安全管理制度、未采取可靠的安全措施的行为的处罚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440278011000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三十九条第二款：生产经营单位生产、经营、运输、储存、使用危险物品或者处置废弃危险物品，必须执行有关法律、法规和国家标准或者行业标准，建立专门的安全管理制度，采取可靠的安全措施，接受有关主管部门依法实施的监督管理。</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《中华人民共和国安全生产法》第一百零一条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一）生产、经营、运输、储存、使用危险物品或者处置废弃危险物品，未建立专门安全管理制度、未采取可靠的安全措施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未建立专门安全管理制度</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处3万元以下的罚款；逾期未改正的，并处10万元以上13万元以下的罚款，对其直接负责的主管人员和其他直接责任人员处2万元以上3万元以下的罚款。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未采取可靠的安全措施的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处3万元以上7万元以下的罚款；逾期未改正的，并处13万元以上17万元以下的罚款，对其直接负责的主管人员和其他直接责任人员处3万元以上4万元以下的罚款。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既未建立专门安全管理制度且未采取可靠的安全措施的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处7万元以上10万元以下的罚款；逾期未改正的，并处17万元以上20万元以下的罚款，对其直接负</w:t>
            </w:r>
            <w:r>
              <w:rPr>
                <w:rFonts w:hint="eastAsia" w:ascii="仿宋_GB2312" w:hAnsi="宋体" w:eastAsia="仿宋_GB2312" w:cs="宋体"/>
                <w:kern w:val="0"/>
                <w:sz w:val="24"/>
                <w:szCs w:val="24"/>
                <w:lang w:eastAsia="zh-CN"/>
              </w:rPr>
              <w:t>责</w:t>
            </w:r>
            <w:r>
              <w:rPr>
                <w:rFonts w:hint="eastAsia" w:ascii="仿宋_GB2312" w:hAnsi="宋体" w:eastAsia="仿宋_GB2312" w:cs="宋体"/>
                <w:kern w:val="0"/>
                <w:sz w:val="24"/>
                <w:szCs w:val="24"/>
              </w:rPr>
              <w:t>的主管人员和其他直接</w:t>
            </w:r>
            <w:r>
              <w:rPr>
                <w:rFonts w:hint="eastAsia" w:ascii="仿宋_GB2312" w:hAnsi="宋体" w:eastAsia="仿宋_GB2312" w:cs="宋体"/>
                <w:kern w:val="0"/>
                <w:sz w:val="24"/>
                <w:szCs w:val="24"/>
                <w:lang w:eastAsia="zh-CN"/>
              </w:rPr>
              <w:t>责</w:t>
            </w:r>
            <w:r>
              <w:rPr>
                <w:rFonts w:hint="eastAsia" w:ascii="仿宋_GB2312" w:hAnsi="宋体" w:eastAsia="仿宋_GB2312" w:cs="宋体"/>
                <w:kern w:val="0"/>
                <w:sz w:val="24"/>
                <w:szCs w:val="24"/>
              </w:rPr>
              <w:t>任人员处4万元以上5万元以下的罚款。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29</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对重大危险源未登记建档，未进行定期检测、评估、监控，未制定应急预案，或者未告知应急措施的行为的处罚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440278011000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《中华人民共和国安全生产法》第四十条第一款：生产经营单位对重大危险源应当登记建档，进行定期检测、评估、监控，并制定应急预案，告知从业人员和相关人员在紧急情况下应当采取的应急措施。</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一百零一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二）对重大危险源未登记建档，未进行定期检测、评估、监控，未制定应急预案，或者未告知应急措施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四级重大危险源未登记建档，或者未进行定期检测、评估、监控，或者未制定应急预案的，或者未告知应急措施的。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责令限期改正，处3万元以下的罚款；逾期未改正的，责令停产停业整顿，并处10万元以上13万元以下的罚款，对其直接负责的主管人员和其他直接责任人员处2万元以上3万元以下的罚款。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三级重大危险源未登记建档，或者未进行定期检测、评估、监控，或者未制定应急预案的，或者未告知应急措施的。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责令限期改正，处3万元以上6万元以下的罚款；逾期未改正的，责令停产停业整顿，并处13万元以上16万元以下的罚款，对其直接负责的主管人员和其他直接责任人员处3万元以上3.5万元以下的罚款。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二级重大危险源未登记建档，或者未进行定期检测、评估、监控，或者未制定应急预案的，或者未告知应急措施的。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责令限期改正，处6万元以上8万元以下的罚款；逾期未改正的，责令停产停业整顿，并处16万元以上18万元以下的罚款，对其直接负责的主管人员和其他直接责任人员处3.5万元以上4万元以下的罚款。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一级重大危险源未登记建档，或者未进行定期检测、评估、监控，或者未制定应急预案的，或者未告知应急措施的。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责令限期改正，处8万元以上10万元以下的罚款；逾期未改正的，责令停产停业整顿，并处18万元以上20万元以下的罚款，对其直接负责的主管人员和其他直接责任人员处4万元以上5万元以下的罚款。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30</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进行爆破、吊装、动火、临时用电以及国务院应急管理部门会同国务院有关部门规定的其他危险作业，未安排专门人员进行现场安全管理的行为的处罚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440278011000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四十三条：生产经营单位进行爆破、吊装、动火、临时用电以及国务院应急管理部门会同国务院有关部门规定的其他危险作业，应当安排专门人员进行现场安全管理，确保操作规程的遵守和安全措施的落实。</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一百零一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三）进行爆破、吊装、动火、临时用电以及国务院应急管理部门会同国务院有关部门规定的其他危险作业，未安排专门人员进行现场安全管理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有1处爆破、吊装、动火、临时用电以及国务院应急管理部门会同国务院有关部门规定的其他危险作业，未安排专门管理人员进行现场安全管理的。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责令限期改正，处3万元以下的罚款；逾期未改正的，责令停产停业整顿，并处10万元以上13万元以下的罚款，对其直接负责的主管人员和其他直接责任人员处2万元以上3万元以下的罚款。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有2处爆破、吊装、动火、临时用电以及国务院应急管理部门会同国务院有关部门规定的其他危险作业，未安排专门管理人员进行现场安全管理的。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责令限期改正，处3万元以上7万元以下的罚款；逾期未改正的，责令停产停业整顿，并处13万元以上17万元以下的罚款，对其直接负责的主管人员和其他直接责任人员处3万元以上4万元以下的罚款。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有3处以上爆破、吊装、动火、临时用电以及国务院应急管理部门会同国务院有关部门规定的其他危险作业，未安排专门管理人员进行现场安全管理的。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责令限期改正，处7万元以上10万元以下的罚款；逾期未改正的，责令停产停业整顿，并处17万元以上20万元以下的罚款，对其直接负责的主管人员和其他直接责任人员处4万元以上5万元以下的罚款。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38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31</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未建立安全风险分级管控制度或者未按照安全风险分级采取相应管控措施的行为的处罚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440278011000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《中华人民共和国安全生产法》第四十一条第一款：生产经营单位应当建立安全风险分级管控制度，按照安全风险分级采取相应的管控措施。</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一百零一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四）未建立安全风险分级管控制度或者未按照安全风险分级采取相应管控措施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已建立安全风险分级管控制度但低或一般风险未采取相应管控措施的。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责令限期改正，处3万元以下罚款；逾期未改正的，责令停产停业整顿，处10万元以上13万元以下罚款，其直接负责的主管人员和其他直接责任人员处2万元以上3万元以下的罚款。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已建立安全风险分级管控制度但较高及以上风险未采取相应管控措施的。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责令限期改正，处3万元以上7万元以下罚款；逾期未改正的，责令停产停业整顿，处13万元以上17万元以下罚款，其直接负责的主管人员和其他直接责任人员处3万元以上4万元以下的罚款。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未建立与生产经营单位的生产经营实际相符的安全风险分级管控制度的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责令限期改正，处7万元以上10万元以下罚款；逾期未改正的，责令停产停业整顿，处17万元以上20万元以下罚款，其直接负责的主管人员和其他直接责任人员处4万元以上5万元以下的罚款。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32</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未建立事故隐患排查治理制度的行为的处罚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440278011000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四十一条第二款：生产经营单位应当建立健全并落实生产安全事故隐患排查治理制度，采取技术、管理措施，及时发现并消除事故隐患。事故隐患排查治理情况应当如实记录，并通过职工大会或者职工代表大会、信息公示栏等方式向从业人员通报。其中，重大事故隐患排查治理情况应当及时向负有安全生产监督管理职责的部门和职工大会或者职工代表大会报告。</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一百零一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五）未建立事故隐患排查治理制度，或者重大事故隐患排查治理情况未按照规定报告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未建立事故隐患排查治理制度或制度与生产经营单位的生产实际不相符，但已开展排查治理的。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责令限期改正，处3万元以下罚款；逾期未改正的，责令停产停业整顿，处10万元以上13万元以下罚款，其直接负责的主管人员和其他直接责任人员处2万元以上3万元以下的罚款。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已建立事故隐患排查治理制度的，但未按规定开展事故隐患排查治理工作。</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责令限期改正，处3万元以上7万元以下罚款；逾期未改正的，责令停产停业整顿，处13万元以上17万元以下罚款，其直接负责的主管人员和其他直接责任人员处3万元以上4万元以下的罚款。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未按规定开展事故隐患排查治理工作，未建立事故隐患排查治理制度的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责令限期改正，处7万元以上10万元以下罚款；逾期未改正的，责令停产停业整顿，处17万元以上20万元以下罚款，其直接负责的主管人员和其他直接责任人员处4万元以上5万元以下的罚款。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33</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重大事故隐患排查治理情况未按照规定报告的行为的处罚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440278011000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四十一条第二款：生产经营单位应当建立健全并落实生产安全事故隐患排查治理制度，采取技术、管理措施，及时发现并消除事故隐患。事故隐患排查治理情况应当如实记录，并通过职工大会或者职工代表大会、信息公示栏等方式向从业人员通报。其中，重大事故隐患排查治理情况应当及时向负有安全生产监督管理职责的部门和职工大会或者职工代表大会报告。</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一百零一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五）未建立事故隐患排查治理制度，或者重大事故隐患排查治理情况未按照规定报告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重大事故隐患排查治理情况已按照规定向负有安全生产监督管理职责的部门报告，但未向职工大会或者职工代表大会报告的。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责令限期改正，处3万元以下罚款；逾期未改正的，责令停产停业整顿，处10万元以上13万元以下罚款，其直接负责的主管人员和其他直接责任人员处2万元以上3万元以下的罚款。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重大事故隐患排查治理情况已按照规定向职工大会或者职工代表大会报告，但未向负有安全生产监督管理职责的部门报告的。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责令限期改正，处3万元以上7万元以下罚款；逾期未改正的，责令停产停业整顿，处13万元以上17万元以下罚款，其直接负责的主管人员和其他直接责任人员处3万元以上4万元以下的罚款。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重大事故隐患排查治理情况未按照规定向负有安全生产监督管理职责的部门和职工大会或者职工代表大会报告。</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责令限期改正，处7万元以上10万元以下罚款；逾期未改正的，责令停产停业整顿，处17万元以上20万元以下罚款，其直接负责的主管人员和其他直接责任人员处4万元以上5万元以下的罚款。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34</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生产经营单位未采取措施消除事故隐患的行为的处罚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四十一条第二款：生产经营单位应当建立健全并落实生产安全事故隐患排查治理制度，采取技术、管理措施，及时发现并消除事故隐患。事故隐患排查治理情况应当如实记录，并通过职工大会或者职工代表大会、信息公示栏等方式向从业人员通报。其中，重大事故隐患排查治理情况应当及时向负有安全生产监督管理职责的部门和职工大会或者职工代表大会报告。</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一百零二条：生产经营单位未采取措施消除事故隐患的，责令立即消除或者限期消除，处五万元以下的罚款；生产经营单位拒不执行的，责令停产停业整顿；对其直接负责的主管人员和其他直接责任人员处五万元以上十万元以下的罚款； 构成犯罪的，依照刑法有关规定追究刑事责任。</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责令立即消除或者限期消除，处五万元以下的罚款；生产经营单位拒不执行的，责令停产停业整顿； 对其直接负责的主管人员和其他直接责任人员处五万元以上十万元以下的罚款； 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未对一般事故隐患采取措施消除的。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责令立即消除或者限期消除，处1.5万元以下罚款；生产经营单位拒不执行的，责令停产停业整顿，对其直接负责的主管人员和其他直接责任人员处5万元以上6.5万元以下的罚款。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未对1条重大事故隐患采取措施消除的。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责令立即消除或者限期消除，处1.5万元以上3.5万元以下；生产经营单位拒不执行的，责令停产停业整顿，对其直接负</w:t>
            </w:r>
            <w:r>
              <w:rPr>
                <w:rFonts w:hint="eastAsia" w:ascii="仿宋_GB2312" w:hAnsi="宋体" w:eastAsia="仿宋_GB2312" w:cs="宋体"/>
                <w:kern w:val="0"/>
                <w:sz w:val="24"/>
                <w:szCs w:val="24"/>
                <w:lang w:eastAsia="zh-CN"/>
              </w:rPr>
              <w:t>责</w:t>
            </w:r>
            <w:r>
              <w:rPr>
                <w:rFonts w:hint="eastAsia" w:ascii="仿宋_GB2312" w:hAnsi="宋体" w:eastAsia="仿宋_GB2312" w:cs="宋体"/>
                <w:kern w:val="0"/>
                <w:sz w:val="24"/>
                <w:szCs w:val="24"/>
              </w:rPr>
              <w:t>的主管人员和其他直接责任人员处6.5万元以上8.5万元以下的罚款。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未对2条或以上重大事故隐患采取措施消除的。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责令立即消除或者限期消除，处3.5万元以上5万元以下；生产经营单位拒不执行的，责令停产停业整顿，对其直接负责的主管人员和其他直接责任人员处8.5万元以上10万元以下的罚款。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35</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生产经营单位将生产经营项目、场所、设备发包或者出租给不具备安全生产条件或者相应资质的单位或者个人的行为的处罚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440278013000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xml:space="preserve"> 《中华人民共和国安全生产法》第四十九条第一款：生产经营单位不得将生产经营项目、场所、设备发包或者出租给不具备安全生产条件或者相应资质的单位或者个人。</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一百零三条第一款：生产经营单位将生产经营项目、场所、设备发包或者出租给不具备安全生产条件或者相应资质的单位或者个人的，责令限期改正，没收违法所得；违法所得十万元以上的，并处违法所得二倍以上五倍以下的罚款；没有违法所得或者违法所得不足十万元的，单处或者并处十万元以上二十万元以下的罚款；对其直接负责的主管人员和其他直接责任人员处一万元以上二万元以下的罚款；导致发生生产安全事故给他人造成损害的，与承包方、承租方承担连带赔偿责任。</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没收违法所得；违法所得十万元以上的，并处违法所得二倍以上五倍以下的罚款；没有违法所得或者违法所得不足十万元的，单处或者并处十万元以上二十万元以下的罚款；对其直接负责的主管人员和其他直接责任人员处一万元以上二万元以下的罚款；导致发生生产安全事故给他人造成损害的，与承包方、承租方承担连带赔偿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没有违法所得的。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责令限期改正，对单位处10万元以上13万元以下罚款，对其直接负责的主管人员和其他直接责任人员处1万元以上1.2万元以下罚款。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有违法所得，但不足5万元的。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责令限期改正，没收违法所得，对单位处13万元以上17万以下罚款，对其直接负责的主管人员和其他直接责任人员处1.2万元以上1.4万元以下罚款。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违法所得5万元以上10万元以下的。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责令限期改正，没收违法所得，对单位处17万以上20万元以下的罚款；对其直接负责的主管人员和其他直接责任人员处1.4万元以上1.6万元以下罚款。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违法所得10万元以上20万元以下的。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责令限期改正，没收违法所得，对单位处违法所得2倍以上4倍以下的罚款；对其直接负责的主管人员和其他直接责任人员处1.6万元以上1.8万以下罚款。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情节特别严重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违法所得20万元以上的。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责令限期改正，没收违法所得，对单位处违法所得4倍以上5倍以下的罚款；对其直接负责的主管人员和其他直接责任人员处1.8万元以上2万以下罚款。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36</w:t>
            </w:r>
          </w:p>
        </w:tc>
        <w:tc>
          <w:tcPr>
            <w:tcW w:w="37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对生产经营单位未与承包单位、承租单位签订专门的安全生产管理协议或者未在承包合同、租赁合同中明确各自的安全生产管理职责，或者未对承包单位、承租单位的安全生产统一协调、管理的行为的处罚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440278014000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四十九条第二款：生产经营项目、场所发包或者出租给其他单位的，生产经营单位应当与承包单位、承租单位签订专门的安全生产管理协议，或者在承包合同、租赁合同中约定各自的安全生产管理职责；生产经营单位对承包单位、承租单位的安全生产工作统一协调、管理，定期进行安全检查，发现安全问题的，应当及时督促整改。</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一百零三条第二款：生产经营单位未与承包单位、承租单位签订专门的安全生产管理协议或者未在承包合同、租赁合同中明确各自的安全生产管理职责，或者未对承包单位、承租单位的安全生产统一协调、管理的，责令限期改正，处五万元以下的罚款，对其直接负责的主管人员和其他直接责任人员处一万元以下的罚款；逾期未改正的，责令停产停业整顿。</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责令限期改正，处五万元以下的罚款，对其直接负责的主管人员和其他直接责任人员处一万元以下的罚款；逾期未改正的，责令停产停业整顿。</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未与承包单位、承租单位签订专门的安全生产管理协议或者未在承包合同、租赁合同中明确各自的安全生产管理职责的。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责令限期改正，处1.5万元以下的罚款对其直接负责的主管人员和其他直接责任人员处0.3万元以下的罚款；逾期未改正的，责令停产停业整顿。</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未对承包单位、承租单位的安全生产统一协调、管理的。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责令限期改正，处1.5万元以上3.5万元以下的罚款，对其直接负责的主管人员和其他直接责任人员处0.3万元以上0.7万元以下的罚款；逾期未改正的，责令停产停业整顿。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未与承包单位、承租单位签订专门的安全生产管理协议或者未在承包合同、租赁合同中明确各自的安全生产管理职</w:t>
            </w:r>
            <w:r>
              <w:rPr>
                <w:rFonts w:hint="eastAsia" w:ascii="仿宋_GB2312" w:hAnsi="宋体" w:eastAsia="仿宋_GB2312" w:cs="宋体"/>
                <w:kern w:val="0"/>
                <w:sz w:val="24"/>
                <w:szCs w:val="24"/>
                <w:lang w:eastAsia="zh-CN"/>
              </w:rPr>
              <w:t>责</w:t>
            </w:r>
            <w:r>
              <w:rPr>
                <w:rFonts w:hint="eastAsia" w:ascii="仿宋_GB2312" w:hAnsi="宋体" w:eastAsia="仿宋_GB2312" w:cs="宋体"/>
                <w:kern w:val="0"/>
                <w:sz w:val="24"/>
                <w:szCs w:val="24"/>
              </w:rPr>
              <w:t>，且未对承包单位、承租单位的安全生产统一协调、管理的。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责令限期改正，处3.5万元以上5万元以下的罚款，对其直接负责的主管人员和其他直接责任人员处0.7万元以上1万元以下的罚款；逾期未改正的，责令停产停业整顿。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37</w:t>
            </w:r>
          </w:p>
        </w:tc>
        <w:tc>
          <w:tcPr>
            <w:tcW w:w="37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对两个以上生产经营单位在同一作业区域内进行可能危及对方安全生产的生产经营活动，未签订安全生产管理协议或者未指定专职安全生产管理人员进行安全检查与协调的行为的处罚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440278015000</w:t>
            </w:r>
          </w:p>
        </w:tc>
        <w:tc>
          <w:tcPr>
            <w:tcW w:w="82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四十八条：两个以上生产经营单位在同一作业区域内进行生产经营活动，可能危及对方生产安全的，应当签订安全生产管理协议，明确各自的安全生产管理并指定专职安全生产管理人员进行安全检查与协调。</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《中华人民共和国安全生产法》第一百零四条： 两个以上生产经营单位在同一作业区域内进行可能危及对方安全生产的生产经营活动，未签订安全生产管理协议或者未指定专职安全生产管理人员进行安全检查与协调的，责令限期改正，处五万元以下的罚款，对其直接负责的主管人员和其他直接责任人员处一万元以下的罚款；逾期未改正的，责令停产停业。</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责令限期改正，处五万元以下的罚款，对其直接负责的主管人员和其他直接责任人员处一万元以下的罚款；逾期未改正的，责令停产停业。</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两个以上生产经营单位在同一作业区域内进行可能危及对方安全生产的生产经营活动，未签订安全生产管理协议或者未指定专职安全生产管理人员进行安全检查与协调的，在同一作业区域内的从业人员100人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责令限期改正，处2万元以下的罚款，对其直接负</w:t>
            </w:r>
            <w:r>
              <w:rPr>
                <w:rFonts w:hint="eastAsia" w:ascii="仿宋_GB2312" w:hAnsi="宋体" w:eastAsia="仿宋_GB2312" w:cs="宋体"/>
                <w:kern w:val="0"/>
                <w:sz w:val="24"/>
                <w:szCs w:val="24"/>
                <w:lang w:eastAsia="zh-CN"/>
              </w:rPr>
              <w:t>责</w:t>
            </w:r>
            <w:r>
              <w:rPr>
                <w:rFonts w:hint="eastAsia" w:ascii="仿宋_GB2312" w:hAnsi="宋体" w:eastAsia="仿宋_GB2312" w:cs="宋体"/>
                <w:kern w:val="0"/>
                <w:sz w:val="24"/>
                <w:szCs w:val="24"/>
              </w:rPr>
              <w:t>的主管人员和其他直接责任人员处0.3万元以下的罚款；逾期未改正的，责令停产停业。</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两个以上生产经营单位在同一作业区域内进行可能危及对方安全生产的生产经营活动，未签订安全生产管理协议或者未指定专职安全生产管理人员进行安全检查与协调的，在同一作业区域内的从业人员100人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责令限期改正，处2万元以上3万元以下的罚款，对其直接负</w:t>
            </w:r>
            <w:r>
              <w:rPr>
                <w:rFonts w:hint="eastAsia" w:ascii="仿宋_GB2312" w:hAnsi="宋体" w:eastAsia="仿宋_GB2312" w:cs="宋体"/>
                <w:kern w:val="0"/>
                <w:sz w:val="24"/>
                <w:szCs w:val="24"/>
                <w:lang w:eastAsia="zh-CN"/>
              </w:rPr>
              <w:t>责</w:t>
            </w:r>
            <w:bookmarkStart w:id="1" w:name="_GoBack"/>
            <w:bookmarkEnd w:id="1"/>
            <w:r>
              <w:rPr>
                <w:rFonts w:hint="eastAsia" w:ascii="仿宋_GB2312" w:hAnsi="宋体" w:eastAsia="仿宋_GB2312" w:cs="宋体"/>
                <w:kern w:val="0"/>
                <w:sz w:val="24"/>
                <w:szCs w:val="24"/>
              </w:rPr>
              <w:t>的主管人员和其他直接责任人员处0.3万元以上0.5万元以下的罚款；逾期未改正的，责令停产停业。</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两个以上生产经营单位在同一作业区域内进行可能危及对方安全生产的生产经营活动，未签订安全生产管理协议，并且未指定专职安全生产管理人员进行安全检查与协调的，在同一作业区域内的从业人员100人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责令限期改正，处3万元以上4万元以下的罚款，对其直接负责的主管人员和其他直接责任人员处0.5万元以上0.7万元以下的罚款；逾期未改正的，责令停产停业。</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两个以上生产经营单位在同一作业区域内进行可能危及对方安全生产的生产经营活动，未签订安全生产管理协议，并且未指定专职安全生产管理人员进行安全检查与协调的，在同一作业区域内的从业人员100人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责令限期改正，处4万元以上5万元以下的罚款，对其直接负责的主管人员和其他直接责任人员处0.7万元以上1万元以下的罚款；逾期未改正的，责令停产停业。</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38</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生产、经营、储存、使用危险物品的车间、商店、仓库与员工宿舍在同一座建筑内，或者与员工宿舍的距离不符合安全要求的行为的处罚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440278016000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《中华人民共和国安全生产法》第四十二条第一款：生产、经营、储存、使用危险物品的车间、商店、仓库不得与员工宿舍在同一座建筑物内，并应当与员工宿舍保持安全距离。</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一百零五条：生产经营单位有下列行为之一的，责令限期改正，处五万元以下的罚款，对其直接负责的主管人员和其他直接责任人员处一万元以下的罚款；逾期未改正的，责令停产停业整顿；构成犯罪的，依照刑法有关规定追究刑事责任:（一）生产、经营、储存、使用危险物品的车间、商店、仓库与员工宿舍在同一座建筑内，或者与员工宿舍的距离不符合安全要求的；　</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责令限期改正，处五万元以下的罚款，对其直接负责的主管人员和其他直接责任人员处一万元以下的罚款；逾期未改正的，责令停产停业整顿；构成犯罪的，依照刑法有关规定追究刑事责任。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生产、经营、储存、使用危险物品的车间、商店仓库与员工宿舍在同一座建筑内，或者与员工宿舍的距离不符合安全要求的，其员工宿舍涉及住宿人员4人以下的。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责令限期改正，处1.5万元以下的罚款，对其直接负责的主管人员和其他直接责任人员处0.3万元以下的罚款；逾期未改正的，责令停产停业整顿。</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生产、经营、储存、使用危险物品的车间、商店仓库与员工宿舍在同一座建筑内，或者与员工宿舍的距离不符合安全要求的，其员工宿舍涉及住宿人员有4人以上10以下的。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责令限期改正，处1.5万元以上3.5万元以下的罚款，对其直接负责的主管人员和其他直接责任人员处0.3万元以上0.7万元以下的罚款；逾期未改正的，责令停产停业整顿。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情节较重及以上</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生产、经营、储存、使用危险物品的车间、商店、仓库与员工宿舍在同一座建筑内，或者与员工宿舍的距离不符合安全要求的，其员工宿舍中住宿人员有10人以上的。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责令限期改正，处3.5万元以上5万元以下的罚款，对其直接负责的主管人员和其他直接责任人员处0.7万元以上1万元以下的罚款；逾期未改正的，责令停产停业整顿。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39</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生产经营场所和员工宿舍未设有符合紧急疏散需要、标志明显、保持畅通的出口、疏散通道，或者占用、锁闭、封堵生产经营场所或者员工宿舍出口、疏散通道的行为的处罚</w:t>
            </w:r>
          </w:p>
        </w:tc>
        <w:tc>
          <w:tcPr>
            <w:tcW w:w="259"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440278016000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四十二条第二款：生产经营场所和员工宿舍应当设有符合紧急疏散要求、标志明显、保持畅通的出口、疏散通道。禁止占用、锁闭、封堵生产经营场所或者员工宿舍的出口、疏散通道。</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一百零五条：生产经营单位有下列行为之一的，责令限期改正，处五万元以下的罚款，对其直接负责的主管人员和其他直接责任人员处一万元以下的罚款；逾期未改正的，责令停产停业整顿；构成犯罪的，依照刑法有关规定追究刑事责任:（二）生产经营场所和员工宿舍未设有符合紧急疏散需要、标志明显、保持畅通的出口、疏散通道，或者占用、锁闭、封堵生产经营场所或者员工宿舍出口、疏散通道的。</w:t>
            </w:r>
          </w:p>
        </w:tc>
        <w:tc>
          <w:tcPr>
            <w:tcW w:w="736"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责令限期改正，处五万元以下的罚款，对其直接负责的主管人员和其他直接责任人员处一万元以下的罚款；逾期未改正的，责令停产停业整顿；构成犯罪的，依照刑法有关规定追究刑事责任。</w:t>
            </w:r>
          </w:p>
        </w:tc>
        <w:tc>
          <w:tcPr>
            <w:tcW w:w="277" w:type="pct"/>
            <w:tcBorders>
              <w:top w:val="nil"/>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生产经营场所或者员工宿舍虽设有出口、疏散通道，但不符合紧急疏散要求或标志不明显的。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责令限期改正，处1.5万元以下的罚款，对其直接负责的主管人员和其他直接责任人员处0.3万元以下的罚款；逾期未改正的，责令停产停业整顿。</w:t>
            </w:r>
          </w:p>
        </w:tc>
        <w:tc>
          <w:tcPr>
            <w:tcW w:w="317"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single" w:color="auto" w:sz="4" w:space="0"/>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占用生产经营场所或者员工宿舍出口、疏散通道的。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责令限期改正，处1.5万元以上3.5万元以下的罚款，对其直接负责的主管人员和其他直接责任人员处0.3万元以上0.7万元以下的罚款；逾期未改正的，责令停产停业整顿。</w:t>
            </w:r>
          </w:p>
        </w:tc>
        <w:tc>
          <w:tcPr>
            <w:tcW w:w="317"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single" w:color="auto" w:sz="4" w:space="0"/>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锁闭、封堵或未设生产经营场所或者员工宿舍出口、疏散通道。</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责令限期改正，处3.5万元以上5万元以下的罚款，对其直接负责的主管人员和其他直接责任人员处0.7万元以上1万元以下的罚款；逾期未改正的，责令停产停业整顿。</w:t>
            </w:r>
          </w:p>
        </w:tc>
        <w:tc>
          <w:tcPr>
            <w:tcW w:w="317"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21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40</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高危行业、领域的生产经营单位未按照国家规定投保安全生产责任保险的行为的处罚</w:t>
            </w:r>
          </w:p>
        </w:tc>
        <w:tc>
          <w:tcPr>
            <w:tcW w:w="259"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五十一条第二款：国家鼓励生产经营单位投保安全生产责任保险；属于国家规定的高危行业、领域的生产经营单位，应当投保安全生产责任保险。具体范围和实施办法由国务院应急管理部门会同国务院财政部门、国务院保险监督管理机构和相关行业主管部门制定。</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《中华人民共和国安全生产法》第一百零九条： 高危行业、领域的生产经营单位未按照国家规定投保安全生产责任保险的，责令限期改正，处五万元以上十万元以下的罚款；逾期未改正的，处十万元以上二十万元以下的罚款。</w:t>
            </w:r>
          </w:p>
        </w:tc>
        <w:tc>
          <w:tcPr>
            <w:tcW w:w="736"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责令限期改正，处五万元以上十万元以下的罚款；逾期未改正的，处十万元以上二十万元以下的罚款。</w:t>
            </w:r>
          </w:p>
        </w:tc>
        <w:tc>
          <w:tcPr>
            <w:tcW w:w="277" w:type="pct"/>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高危岗位从业人员30人以下的高危行业、领域的生产经营单位。</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责令限期改正，处5万元以上6.5万元以下的罚款；逾期未改正的，处10万元以上13万元以下的罚款。</w:t>
            </w:r>
          </w:p>
        </w:tc>
        <w:tc>
          <w:tcPr>
            <w:tcW w:w="317"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21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高危岗位从业人员30人以上100人以下的高危行业、领域的生产经营单位。</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责令限期改正，处6.5万元以上8.5万元以下的罚款；逾期未改正的，处13万元以上17万元以下的罚款。</w:t>
            </w:r>
          </w:p>
        </w:tc>
        <w:tc>
          <w:tcPr>
            <w:tcW w:w="317"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21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高危岗位从业人员100人以上的高危行业、领域的生产经营单位。</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责令限期改正，处8.5万元以上10万元以下的罚款；逾期未改正的，处17万元以上20万元以下的罚款。</w:t>
            </w:r>
          </w:p>
        </w:tc>
        <w:tc>
          <w:tcPr>
            <w:tcW w:w="317"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81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41</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生产经营单位的主要负责人在本单位发生生产安全事故时，不立即组织抢救或者在事故调查处理期问擅离职守或者逃匿的行为的处罚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440278019000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《中华人民共和国安全生产法》第五十条：生产经营单位发生生产安全事故时，单位的主要负责人应当立即组织抢救，并不得在事故调查处理期间擅离职守。</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一百一十条第一款：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给予降级、撤职的处分，并由应急管理部门处上一年年收入百分之六十至百分之一百的罚款；对逃匿的处十五日以下拘留；构成犯罪的，依照刑法有关规定追究刑事责任。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不立即组织抢救或者在事故调查处理期间擅离职守。</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处上一年年收入百分之六十至百分之七十的罚款。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81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不立即组织抢救且在事故调查处理期间擅离职守的，或逃匿的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处上一年年收入百分之七十至百分之八十的罚款。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不立即组织抢救或者在事故调查处理期问擅离职守或者逃匿，贻误事故抢救或者造成事故扩大或者影响事故调查或者造成重大社会影响的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处上一年年收入百分之八十至百分之一百的罚款。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42</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生产经营单位主要负责人对生产安全事故隐瞒不报、谎报或者迟报的行为的处罚</w:t>
            </w:r>
          </w:p>
        </w:tc>
        <w:tc>
          <w:tcPr>
            <w:tcW w:w="259"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440278019000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八十三条第二款：单位负责人接到事故报告后，应当迅速采取有效措施，组织抢救，防止事故扩大，减少人员伤亡和财产损失，并按照国家有关规定立即如实报告当地负有安全生产监督管理职责的部门，不得隐瞒不报、谎报或者迟报，不得故意破坏事故现场、毁灭有关证据。</w:t>
            </w:r>
          </w:p>
        </w:tc>
        <w:tc>
          <w:tcPr>
            <w:tcW w:w="930"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一百一十条：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生产经营单位的主要负责人对生产安全事故隐瞒不报、谎报或者迟报的，依照前款规定处罚。</w:t>
            </w:r>
          </w:p>
        </w:tc>
        <w:tc>
          <w:tcPr>
            <w:tcW w:w="736"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给予降级、撤职的处分，并由应急管理部门处上一年年收入百分之六十至百分之一百的罚款；对逃匿的处十五日以下拘留；构成犯罪的，依照刑法有关规定追究刑事责任。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迟报生产安全事故的。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给予降级、撤职的处分，并由应急管理部门处上一年年收入百分之六十以上百分之七十以下的罚款。构成犯罪的，依照刑法有关规定追究刑事责任。</w:t>
            </w:r>
          </w:p>
        </w:tc>
        <w:tc>
          <w:tcPr>
            <w:tcW w:w="317"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瞒报或谎报生产安全事故的。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给予降级、撤职的处分，并由应急管理部门处上一年年收入百分之七十以上百分之八十以下的罚款。构成犯罪的，依照刑法有关规定追究刑事责任。</w:t>
            </w:r>
          </w:p>
        </w:tc>
        <w:tc>
          <w:tcPr>
            <w:tcW w:w="317"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瞒报、谎报、迟报生产安全事故，贻误事故抢救或者造成事故扩大或者影响事故调查或者造成重大社会影响的。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给予降级、撤职的处分，并由应急管理部门处上一年年收入百分之八十以上百分之一百以下的罚款。构成犯罪的，依照刑法有关规定追究刑事责任。</w:t>
            </w:r>
          </w:p>
        </w:tc>
        <w:tc>
          <w:tcPr>
            <w:tcW w:w="317"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4860" w:hRule="atLeast"/>
        </w:trPr>
        <w:tc>
          <w:tcPr>
            <w:tcW w:w="153"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43</w:t>
            </w:r>
          </w:p>
        </w:tc>
        <w:tc>
          <w:tcPr>
            <w:tcW w:w="379"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对生产经营单位对发生生产安全事故负有责任行为的处罚</w:t>
            </w:r>
          </w:p>
        </w:tc>
        <w:tc>
          <w:tcPr>
            <w:tcW w:w="259" w:type="pct"/>
            <w:vMerge w:val="restart"/>
            <w:tcBorders>
              <w:top w:val="single" w:color="auto" w:sz="4" w:space="0"/>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440278021000</w:t>
            </w:r>
          </w:p>
        </w:tc>
        <w:tc>
          <w:tcPr>
            <w:tcW w:w="82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八十七条：生产经营单位发生生产安全事故，经调查确定为责任事故的，除了应当查明事故单位的责任并依法予以追究外，还应当查明对安全生产的有关事项负有审查批准和监督职责的行政部门的责任，对有失职、渎职行为的，依照本法第九十条的规定追究法律责任。</w:t>
            </w:r>
          </w:p>
        </w:tc>
        <w:tc>
          <w:tcPr>
            <w:tcW w:w="930" w:type="pct"/>
            <w:vMerge w:val="restart"/>
            <w:tcBorders>
              <w:top w:val="single" w:color="auto" w:sz="4" w:space="0"/>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《中华人民共和国安全生产法》第一百一十四条第一款：发生生产安全事故，对负有责任的生产经营单位除要求其依法承担相应的赔偿等责任外，由应急管理部门依照下列规定处以罚款: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（一）发生一般事故的，处三十万元以上一百万元以下的罚款；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（二）发生较大事故的，处一百万元以上二百万元以下的罚款；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（三）发生重大事故的，处二百万元以上一千万元以下的罚款；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（四）发生特别重大事故的，处一千万元以上二千万元以下的罚款。</w:t>
            </w:r>
          </w:p>
        </w:tc>
        <w:tc>
          <w:tcPr>
            <w:tcW w:w="736" w:type="pct"/>
            <w:vMerge w:val="restart"/>
            <w:tcBorders>
              <w:top w:val="single" w:color="auto" w:sz="4" w:space="0"/>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（一）发生一般事故的，处三十万元以上一百万元以下的罚款；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（二）发生较大事故的，处一百万元以上二百万元以下的罚款；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（三）发生重大事故的，处二百万元以上一千万元以下的罚款；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（四）发生特别重大事故的，处一千万元以上二千万元以下的罚款。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对一般事故负有责任的。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（1）造成3人以下重伤（包括急性工业中毒，下同），或者300万元以下直接经济损失的，处30万元以上50万元以下的罚款；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（2）造成1人死亡，或者3人以上6人以下重伤，或者300万元以上500万元以下直接经济损失的，处50万元以上70万元以下的罚款；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（3）造成2人死亡，或者6人以上10人以下重伤，或者500万元以上1000万元以下直接经济损失的，处70万元以上100万元以下的罚款。</w:t>
            </w:r>
          </w:p>
        </w:tc>
        <w:tc>
          <w:tcPr>
            <w:tcW w:w="317" w:type="pct"/>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各县（市、区）应急管理局</w:t>
            </w:r>
          </w:p>
        </w:tc>
      </w:tr>
      <w:tr>
        <w:tblPrEx>
          <w:tblCellMar>
            <w:top w:w="0" w:type="dxa"/>
            <w:left w:w="108" w:type="dxa"/>
            <w:bottom w:w="0" w:type="dxa"/>
            <w:right w:w="108" w:type="dxa"/>
          </w:tblCellMar>
        </w:tblPrEx>
        <w:trPr>
          <w:trHeight w:val="6075" w:hRule="atLeast"/>
        </w:trPr>
        <w:tc>
          <w:tcPr>
            <w:tcW w:w="153"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对较大事故负有责任的。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（1）造成3人以上5人以下死亡，或者10人以上20人以下重伤，或者1000万元以上2000万元以下直接经济损失的，处100万元以上120万元以下的罚款；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（2）造成5人以上7人以下死亡，或者20人以上30人以下重伤，或者2000万元以上3000万元以下直接经济损失的，处120万元以上150万元以下的罚款；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（3）造成7人以上10人以下死亡，或者30人以上50人以下重伤，或者3000万元以上5000万元以下直接经济损失的，处150万元以上200万元以下的罚款。</w:t>
            </w:r>
          </w:p>
        </w:tc>
        <w:tc>
          <w:tcPr>
            <w:tcW w:w="31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江门市应急管理局</w:t>
            </w:r>
          </w:p>
        </w:tc>
      </w:tr>
      <w:tr>
        <w:tblPrEx>
          <w:tblCellMar>
            <w:top w:w="0" w:type="dxa"/>
            <w:left w:w="108" w:type="dxa"/>
            <w:bottom w:w="0" w:type="dxa"/>
            <w:right w:w="108" w:type="dxa"/>
          </w:tblCellMar>
        </w:tblPrEx>
        <w:trPr>
          <w:trHeight w:val="6075" w:hRule="atLeast"/>
        </w:trPr>
        <w:tc>
          <w:tcPr>
            <w:tcW w:w="153"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对重大事故负有责任，上级指定管辖的。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（一）造成10人以上13人以下死亡，或者50人以上60人以下重伤，或者5000万元以上6000万元以下直接经济损失的，处200万元以上400万元以下的罚款；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（二）造成13人以上15人以下死亡，或者60人以上70人以下重伤，或者6000万元以上7000万元以下直接经济损失的，处400万元以上600万元以下的罚款；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（三）造成15人以上30人以下死亡，或者70人以上100人以下重伤，或者7000万元以上1亿元以下直接经济损失的，处600万元以上1000万元以下的罚款。</w:t>
            </w:r>
          </w:p>
        </w:tc>
        <w:tc>
          <w:tcPr>
            <w:tcW w:w="317"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受指定管辖的应急管理部门</w:t>
            </w:r>
          </w:p>
        </w:tc>
      </w:tr>
      <w:tr>
        <w:tblPrEx>
          <w:tblCellMar>
            <w:top w:w="0" w:type="dxa"/>
            <w:left w:w="108" w:type="dxa"/>
            <w:bottom w:w="0" w:type="dxa"/>
            <w:right w:w="108" w:type="dxa"/>
          </w:tblCellMar>
        </w:tblPrEx>
        <w:trPr>
          <w:trHeight w:val="5670" w:hRule="atLeast"/>
        </w:trPr>
        <w:tc>
          <w:tcPr>
            <w:tcW w:w="153"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对特别重大事故负有责任，上级指定管辖的。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（一）造成30人以上40人以下死亡，或者100人以上120人以下重伤，或者1亿元以上1.5亿元以下直接经济损失的，处1000万元以上1200万元以下的罚款；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（二）造成40人以上50人以下死亡，或者120人以上150人以下重伤，或者1.5亿元以上2亿元以下直接经济损失的，处1200万元以上1500万元以下的罚款；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（三）造成50人以上死亡，或者150人以上重伤，或者2亿元以上直接经济损失的，处1500万元以上2000万元以下的罚款。</w:t>
            </w:r>
          </w:p>
        </w:tc>
        <w:tc>
          <w:tcPr>
            <w:tcW w:w="317"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w:t>
            </w:r>
          </w:p>
        </w:tc>
        <w:tc>
          <w:tcPr>
            <w:tcW w:w="37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对离岗六个月以上的从业人员未进行专门安全生产教育和培训的行为的处罚</w:t>
            </w:r>
          </w:p>
        </w:tc>
        <w:tc>
          <w:tcPr>
            <w:tcW w:w="259"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《广东省安全生产条例》第二十二条第四款： 生产经营单位应当对离岗六个月以上或者换岗的从业人员，进行专门的安全生产教育和培训。</w:t>
            </w:r>
          </w:p>
        </w:tc>
        <w:tc>
          <w:tcPr>
            <w:tcW w:w="93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广东省安全生产条例》第六十一条：生产经营单位违反本条例第二十二条第四款、第二十四条第一款规定，有下列情形之一的，责令限期改正，可以处五万元以下的罚款；逾期未改正的，责令停产停业整顿，并处五万元以上十万元以下的罚款，对其直接负责的主管人员和其他直接责任人员处一万元以上二万元以下的罚款：（一）对离岗六个月以上的从业人员未进行专门安全生产教育和培训的；</w:t>
            </w:r>
          </w:p>
        </w:tc>
        <w:tc>
          <w:tcPr>
            <w:tcW w:w="736"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责令限期改正，可以处五万元以下的罚款；逾期未改正的，责令停产停业整顿，并处五万元以上十万元以下的罚款，对其直接负责的主管人员和其他直接责任人员处一万元以上二万元以下的罚款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发现生产经营单位存在未对3名以下离岗六个月以上的从业人员，进行专门的安全生产教育和培训的。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责令改正，可以处1.5万元以下的罚款；逾期未改正的，责令停产停业整顿，并处5万元以上6.5万元以下的罚款，对其直接负责的主管人员和其他直接责任人员处1万元以上1.3万元以下的罚款。</w:t>
            </w:r>
          </w:p>
        </w:tc>
        <w:tc>
          <w:tcPr>
            <w:tcW w:w="317"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发现生产经营单位存在未对3名以上5名以下离岗六个月以上的从业人员，进行专门的安全生产教育和培训的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责令改正，可以处1.5万元以上3.5万元以下的罚款；逾期未改正的，责令停产停业整顿，并处6.5万元以上8.5万元以下的罚款，对其直接负责的主管人员和其他直接责任人员处1.3万元以上1.7万元以下的罚款。</w:t>
            </w:r>
          </w:p>
        </w:tc>
        <w:tc>
          <w:tcPr>
            <w:tcW w:w="317"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发现生产经营单位存在未对5名以上离岗六个月以上的从业人员，进行专门的安全生产教育和培训的。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责令改正，可以处3.5万元以上5万元以下的罚款；逾期未改正的，责令停产停业整顿，并处8.5万元以上10万元以下的罚款，对其直接负责的主管人员和其他直接责任人员处1.7万元以上2万元以下的罚款。</w:t>
            </w:r>
          </w:p>
        </w:tc>
        <w:tc>
          <w:tcPr>
            <w:tcW w:w="317"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45</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未将灵活用工人员纳入本单位的从业人员进行统一管理，对其进行岗位安全操作规程和安全操作技能的教育和培训的行为的处罚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《广东省安全生产条例》第二十四条第一款 ：生产经营单位使用被派遣劳动者、灵活用工人员的，应当将接受其作业指令的被派遣劳动者、灵活用工人员纳入本单位的从业人员进行统一管理，对被派遣劳动者、灵活用工人员进行岗位安全操作规程和安全操作技能的教育和培训。</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广东省安全生产条例》第六十一条：生产经营单位违反本条例第二十二条第四款、第二十四条第一款规定，有下列情形之一的，责令限期改正，可以处五万元以下的罚款；逾期未改正的，责令停产停业整顿，并处五万元以上十万元以下的罚款，对其直接负责的主管人员和其他直接责任人员处一万元以上二万元 以下的罚款：（二）未将灵活用工人员纳入本单位的从业人员进行统一管理，对其进行岗位安全操作规程和安全操作技能的教育和培训的。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责令限期改正，可以处五万元以下的罚款；逾期未改正的，责令停产停业整顿，并处五万元以上十万元以下的罚款，对其直接负责的主管人员和其他直接责任人员处一万元以上二万元以下的罚款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未将灵活用工人员纳入本单位的从业人员进行统一管理，对其进行岗位安全操作规程和安全操作技能的教育和培训，涉及人数10人以下的。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责令改正，可以处1.5万元以下的罚款；逾期未改正的，责令停产停业整顿，并处5万元以上6.5万元以下的罚款，对其直接负责的主管人员和其他直接责任人员处1万元以上1.3万元以下的罚款。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未将灵活用工人员纳入本单位的从业人员进行统一管理，对其进行岗位安全操作规程和安全操作技能的教育和培训，涉及人数10人以上30人以下的。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责令改正，可以处1.5万元以上3.5万元以下的罚款；逾期未改正的，责令停产停业整顿，并处6.5万元以上8.5万元以下的罚款，对其直接负责的主管人员和其他直接责任人员处1.3万元以上1.7万元以下的罚款。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未将灵活用工人员纳入本单位的从业人员进行统一管理，对其进行岗位安全操作规程和安全操作技能的教育和培训，涉及人数30人以上的。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责令改正，可以处3.5万元以上5万元以下的罚款；逾期未改正的，责令停产停业整顿，并处8.5万元以上10万元以下的罚款，对其直接负责的主管人员和其他直接责任人员处1.7万元以上2万元以下的罚款。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46</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违法对特种作业人员开展安全作业培训的行为的处罚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广东省安全生产条例》第二十三条第二款、第三款：生产经营单位、安全培训机构对特种作业人员进行安全作业培训的，应当具备国家规定的安全培训条件，并按照国家统一的培训大纲进行。生产经营单位委托安全培训机构开展特种作业人员安全作业培训的，应当选择具备国家规定的安全培训条件的机构。</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广东省安全生产条例》第六十二条：生产经营单位、安全培训机构违反本条例第二十三条第二款、第三款规定，违法对特种作业人员开展安全作业培训的，责令限期改正，并处五万元以上十万元以下的罚款，对其直接负责的主管人员和其他责任人员处一万元以上二万元以下的罚款；逾期未改正的，责令停产停业整顿。</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责令限期改正，并处五万元以上十万元以下的罚款，对其直接负责的主管人员和其他责任人员处一万元以上二万元以下的罚款；逾期未改正的，责令停产停业整顿。</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具备国家规定的安全培训条件的生产经营单位、安全培训机构未按照国家统一的培训大纲开展特种作业人员安全作业培训的。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责令限期改正，并处5万元以上6.5万元以下的罚款，对其直接负责的主管人员和其他责任人员处1万元以上1.3万元以下的罚款；逾期未改正的，责令停产停业整顿。</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不具备国家规定的安全培训条件的生产经营单位、安全培训机构开展特种作业人员安全作业培训的。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责令限期改正，并处6.5万元以上8.5万元以下的罚款，对其直接负责的主管人员和其他责任人员处1.3万元以上1.7万元以下的罚款；逾期未改正的，责令停产停业整顿。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生产经营单位委托不具备国家规定的安全培训条件的机构开展特种作业人员安全作业培训的。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责令限期改正，并处8.5万元以上10万元以下的罚款，对其直接负责的主管人员和其他责任人员处1.7万元以上2万元以下的罚款；逾期未改正的，责令停产停业整顿。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47</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未按照规定明确本单位每一处重大危险源的主要负责人、技术负责人和操作负责人的行为的处罚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广东省安全生产条例》第三十条第二款：生产经营单位应当对重大危险源进行定期检测、评估、监控，并制定应急预案，告知从业人员和相关人员在紧急情况下应当采取的应急措施；明确本单位第一处重大危险源的主要负责人、技术负责人和操作负责人，对重大危险源的总体管理、技术管理、操作管理等方面履行安全管理责任。</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广东省安全生产条例》第六十三条第一款：生产经营单位违反第三十条第二款规定，未按照规定明确本单位每一处重大危险源的主要负责人、技术负责人和操作负责人的，责令限期改正，可以处三万元以下的罚款；逾期未改正的，责令停产停业整顿，并处三万元以上五万元以下的罚款，对其直接负责的主管人员和其他直接责任人员处一万元以上二万元以下的罚款。</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责令限期改正，可以处三万元以下的罚款；逾期未改正的，责令停产停业整顿，并处三万元以上五万元以下的罚款，对其直接负责的主管人员和其他直接责任人员处一万元以上二万元以下的罚款。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生产经营单位有一处重大危险源未按照规定明确主要负责人、技术负责人和操作负责人的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责令限期改正，可以处1万元以下的罚款；逾期未改正的，责令停产停业整顿，并处3万元以上4万元的罚款，对其直接负责的主管人员和其他直接责任人员处1万元以上1.3万元以下的罚款。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生产经营单位有两处重大危险源未按照规定明确主要负责人、技术负责人和操作负责人的。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责令限期改正，可以处1万元以上2万元以下的罚款；逾期未改正的，责令停产停业整顿，并处4万元以上4.5万元以下的罚款，对其直接负责的主管人员和其他直接责任人员处1.3万元以上1.7万元以下的罚款。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生产经营单位有三处以上重大危险源未按照规定明确主要负责人、技术负责人和操作负责人的。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责令限期改正，可以处2万元以上3万元以下的罚款；逾期未改正的，责令停产停业整顿，并处4.5万元以上5万元以下的罚款，对其直接负责的主管人员和其他直接责任人员处1.7万元以上2万元以下的罚款。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48</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生产经营单位未将生产安全事故应急救援预案报送备案、未建立应急值班制度或者配备应急值班人员的行为的处罚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生产安全事故应急条例》第七条：县级以上人民政府负有安全生产监督管理职责的部门应当将其制定的生产安全事故应急救援预案报送本级人民政府备案；易燃易爆物品、危险化学品等危险物品的生产、经营、储存、运输单位，矿山、金属冶炼、城市轨道交通运营、建筑施工单位，以及宾馆、商场、娱乐场所、旅游景区等人员密集场所经营单位，应当将其制定的生产安全事故应急救援预案按照国家有关规定报送县级以上人民政府负有安全生产监督管理职责的部门备案，并依法向社会公布。</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第十四条　下列单位应当建立应急值班制度，配备应急值班人员：</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（一）县级以上人民政府及其负有安全生产监督管理职责的部门；</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（二）危险物品的生产、经营、储存、运输单位以及矿山、金属冶炼、城市轨道交通运营、建筑施工单位；</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（三）应急救援队伍。</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规模较大、危险性较高的易燃易爆物品、危险化学品等危险物品的生产、经营、储存、运输单位应当成立应急处置技术组，实行24小时应急值班。</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xml:space="preserve"> 《生产安全事故应急条例》第三十二条：生产经营单位未将生产安全事故应急救援预案报送备案、未建立应急值班制度或者配备应急值班人员的，由县级以上人民政府负有安全生产监督管理职责的部门责令限期改正；逾期未改正的，处3万元以上5万元以下的罚款，对直接负责的主管人员和其他直接责任人员处1万元以上2万元以下的罚款。</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由县级以上人民政府负有安全生产监督管理职责的部门责令限期改正；逾期未改正的，处3万元以上5万元以下的罚款，对直接负责的主管人员和其他直接责任人员处1万元以上2万元以下的罚款。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有生产经营单位未将生产安全事故应急救援预案报送备案、未建立应急值班制度或者配备应急值班人员，有三种情形之一的。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责令限期改正，逾期未改正的，对生产经营单位处3万元以上4万元以下罚款，对直接负责的主管人员和其他直接责任人员处1万元以上1.3万元以下的罚款。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有生产经营单位未将生产安全事故应急救援预案报送备案、未建立应急值班制度或者配备应急值班人员，有其中两种情形的。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责令限期改正，逾期未改正的，对生产经营单位处4万元以上4.5万元以下罚款，对直接负责的主管人员和其他直接责任人员处1.3万元以上1.7万元以下的罚款。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同时存在生产经营单位未将生产安全事故应急救援预案报送备案、未建立应急值班制度或者配备应急值班人员三种情形的。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责令限期改正，逾期未改正的，对生产经营单位处4.5万元以上5万元以下罚款，对直接负责的主管人员和其他直接责任人员处1.7万元以上2万元以下的罚款。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405" w:hRule="atLeast"/>
        </w:trPr>
        <w:tc>
          <w:tcPr>
            <w:tcW w:w="5000" w:type="pct"/>
            <w:gridSpan w:val="10"/>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b/>
                <w:bCs/>
                <w:kern w:val="0"/>
                <w:sz w:val="28"/>
                <w:szCs w:val="28"/>
              </w:rPr>
              <w:t>危险化学品类</w:t>
            </w:r>
          </w:p>
        </w:tc>
      </w:tr>
      <w:tr>
        <w:tblPrEx>
          <w:tblCellMar>
            <w:top w:w="0" w:type="dxa"/>
            <w:left w:w="108" w:type="dxa"/>
            <w:bottom w:w="0" w:type="dxa"/>
            <w:right w:w="108" w:type="dxa"/>
          </w:tblCellMar>
        </w:tblPrEx>
        <w:trPr>
          <w:trHeight w:val="405" w:hRule="atLeast"/>
        </w:trPr>
        <w:tc>
          <w:tcPr>
            <w:tcW w:w="153"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序号</w:t>
            </w:r>
          </w:p>
        </w:tc>
        <w:tc>
          <w:tcPr>
            <w:tcW w:w="37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违法行为</w:t>
            </w:r>
          </w:p>
        </w:tc>
        <w:tc>
          <w:tcPr>
            <w:tcW w:w="25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基本编码</w:t>
            </w:r>
          </w:p>
        </w:tc>
        <w:tc>
          <w:tcPr>
            <w:tcW w:w="826"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法律规定</w:t>
            </w:r>
          </w:p>
        </w:tc>
        <w:tc>
          <w:tcPr>
            <w:tcW w:w="930"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处罚依据</w:t>
            </w:r>
          </w:p>
        </w:tc>
        <w:tc>
          <w:tcPr>
            <w:tcW w:w="736"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处罚种类及幅度</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违法程度</w:t>
            </w:r>
          </w:p>
        </w:tc>
        <w:tc>
          <w:tcPr>
            <w:tcW w:w="468" w:type="pct"/>
            <w:tcBorders>
              <w:top w:val="nil"/>
              <w:left w:val="nil"/>
              <w:bottom w:val="single" w:color="auto" w:sz="4"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处罚裁量情节</w:t>
            </w:r>
          </w:p>
        </w:tc>
        <w:tc>
          <w:tcPr>
            <w:tcW w:w="649"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处罚裁量标准</w:t>
            </w:r>
          </w:p>
        </w:tc>
        <w:tc>
          <w:tcPr>
            <w:tcW w:w="31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实施主体</w:t>
            </w:r>
          </w:p>
        </w:tc>
      </w:tr>
      <w:tr>
        <w:tblPrEx>
          <w:tblCellMar>
            <w:top w:w="0" w:type="dxa"/>
            <w:left w:w="108" w:type="dxa"/>
            <w:bottom w:w="0" w:type="dxa"/>
            <w:right w:w="108" w:type="dxa"/>
          </w:tblCellMar>
        </w:tblPrEx>
        <w:trPr>
          <w:trHeight w:val="121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49</w:t>
            </w:r>
          </w:p>
        </w:tc>
        <w:tc>
          <w:tcPr>
            <w:tcW w:w="37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对单位未经安全条件审查，新建、改建、扩建生产、储存危险化学品的建设项目的行为的处罚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440278058000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《危险化学品安全管理条例》第十二条第一款：新建、改建、扩建生产、储存危险化学品的建设项目，应当由安全生产监督管理部门进行安全条件审查。</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七十六条第一款：未经安全条件审查，新建、改建、扩建生产、储存危险化学品的建设项目的，由安全生产监督管理部门责令停止建设，限期改正；逾期不改正的，处50万元以上100万元以下的罚款;构成犯罪的，依法追究刑事责任。</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由安全生产监督管理部门责令停止建设，限期改正；逾期不改正的，处50万元以上100万元以下的罚款;构成犯罪的，依法追究刑事责任。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新建、改建、扩建生产、储存危险化学品的建设项目面积1000平方米以下的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责令停止建设，限期改正；逾期不改正的，处50万元以上65万元以下的罚款。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21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新建、改建、扩建生产、储存危险化学品的建设项目面积1000平方米以上2000平方米以下的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责令停止建设，限期改正；逾期不改正的，处65万元以上85万元以下的罚款。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21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新建、改建、扩建生产、储存危险化学品的建设项目面积2000平方米以上的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责令停止建设，限期改正；逾期不改正的，处85万元以上100万元以下的罚款。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21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50</w:t>
            </w:r>
          </w:p>
        </w:tc>
        <w:tc>
          <w:tcPr>
            <w:tcW w:w="37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对单位或个人未依法取得危险化学品安全生产许可证从事危险化学品生产的行为的处罚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440278299000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《危险化学品安全管理条例》第十四条第一款：危险化学品生产企业进行生产前，应当依照《安全生产许可证条例》的规定，取得危险化学品安全生产许可证。</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《安全生产许可证条例》第二条国家对矿山企业、建筑施工企业和危险化学品、烟花爆竹、民用爆炸物品生产企业(以下统称企业)实行安全生产许可制度。企业未取得安全生产许可证的，不得从事生产活动。</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七十七条第一款：未依法取得危险化学品安全生产许可证从事危险化学品生产，或者未依法取得工业产品生产许可证从事危险化学品及其包装物、容器生产的，分别依照《安全生产许可证条例》、《中华人民共和国工业产品生产许可证管理条例》的规定处罚。</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 xml:space="preserve"> 《安全生产许可证条例》第十九条违反本条例规定，未取得安全生产许可证擅自进行生产的，责令停止生产，没收违法所得，并处10万元以上50万元以下的罚款；造成重大事故或者其他严重后果，构成犯罪的，依法追究刑事责任</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责令停止生产危险化学品，没收违法所得，并处10万元以上50万元以下的罚款；构成犯罪的，依法追究刑事责任。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没有违法所得。</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责令停止生产危险化学品，并处10万元以上20万元以下的罚款;构成犯罪的，依法追究刑事责任。</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违法所得10万元以下的。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责令停止生产危险化学品，没收违法所得，并处20万元以上30万元以下的罚款;构成犯罪的，依法追究刑事责任。</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违法所得10万元以上20万元以下的。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责令停止生产危险化学品，没收违法所得，并处30万元以上40万元以下的罚款;构成犯罪的，依法追究刑事责任。</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违法所得20万元以上的。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责令停止生产危险化学品，没收违法所得，并处40万元以上50万元以下的罚款;构成犯罪的，依法追究刑事责任。</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51</w:t>
            </w:r>
          </w:p>
        </w:tc>
        <w:tc>
          <w:tcPr>
            <w:tcW w:w="379"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对单位或个人未取得危险化学品经营许可证从事危险化学品经营的行为的处罚</w:t>
            </w:r>
          </w:p>
        </w:tc>
        <w:tc>
          <w:tcPr>
            <w:tcW w:w="259"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440278060000</w:t>
            </w:r>
          </w:p>
        </w:tc>
        <w:tc>
          <w:tcPr>
            <w:tcW w:w="826"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《危险化学品安全管理条例》第三十三条第一款：国家对危险化学品经营实行许可制度。未经许可，任何单位和个人不得经营危险化学品。</w:t>
            </w:r>
          </w:p>
        </w:tc>
        <w:tc>
          <w:tcPr>
            <w:tcW w:w="930"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七十七条第三款：违反本条例规定，未取得危险化学品经营许可证从事危险化学品经营的，由安全生产监督管理部门责令停止经营活动，没收违法经营的危险化学品以及违法所得，并处10万元以上20万元以下的罚款；构成犯罪的，依法追究刑事责任。</w:t>
            </w:r>
          </w:p>
        </w:tc>
        <w:tc>
          <w:tcPr>
            <w:tcW w:w="736"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由安全生产监督管理部门责令停止经营活动，没收违法经营的危险化学品以及违法所得，并处10万元以上20万元以下的罚款；构成犯罪的，依法追究刑事责任。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情节轻微</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xml:space="preserve"> 经营少量单件质量小于50公斤或容积小于50升的民用小包装危险化学品（易制毒、易制爆化学品外），现场储存量不高于200公斤且年销售额不足5万元，且查实违法行为轻微并及时改正，没有造成危害后果的。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依法不予行政处罚。</w:t>
            </w:r>
          </w:p>
        </w:tc>
        <w:tc>
          <w:tcPr>
            <w:tcW w:w="317"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没有违法所得或违法所得5万元以下的。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责令停止经营活动，没收违法经营的危险化学品以及违法所得，并处10万元以上13万元以下的罚款；构成犯罪的，依法追究刑事责任。</w:t>
            </w:r>
          </w:p>
        </w:tc>
        <w:tc>
          <w:tcPr>
            <w:tcW w:w="317"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违法所得5万元以上至10万元以下的。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责令停止经营活动，没收违法经营的危险化学品以及违法所得，并处13万元以上17万元以下的罚款；构成犯罪的，依法追究刑事责任。</w:t>
            </w:r>
          </w:p>
        </w:tc>
        <w:tc>
          <w:tcPr>
            <w:tcW w:w="317"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违法所得10万元以上。</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责令停止经营活动，没收违法经营的危险化学品以及违法所得，并处17万元以上20万元以下的罚款；构成犯罪的，依法追究刑事责任。</w:t>
            </w:r>
          </w:p>
        </w:tc>
        <w:tc>
          <w:tcPr>
            <w:tcW w:w="317"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21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52</w:t>
            </w:r>
          </w:p>
        </w:tc>
        <w:tc>
          <w:tcPr>
            <w:tcW w:w="379"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对化工企业未取得危险化学品安全使用许可证，使用危险化学品从事生产的行为的处罚</w:t>
            </w:r>
          </w:p>
        </w:tc>
        <w:tc>
          <w:tcPr>
            <w:tcW w:w="259"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440278059000</w:t>
            </w:r>
          </w:p>
        </w:tc>
        <w:tc>
          <w:tcPr>
            <w:tcW w:w="82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二十九条：使用危险化学品从事生产并且使用量达到规定数量的化工企业，应当依照本条例的规定取得危险化学品安全使用许可证。前款规定的危险化学品使用量的数量标准，由国务院安全生产监督管理部门会同国务院公安部门、农业主管部门确定并公布。</w:t>
            </w:r>
          </w:p>
        </w:tc>
        <w:tc>
          <w:tcPr>
            <w:tcW w:w="93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七十七条第二款：违反本条例规定，化工企业未取得危险化学品安全使用许可证，使用危险化学品从事生产的，由安全生产监督管理部门责令限期改正，处10万元以上20万元以下的罚款；逾期不改正的，责令停产整顿。</w:t>
            </w:r>
          </w:p>
        </w:tc>
        <w:tc>
          <w:tcPr>
            <w:tcW w:w="736"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由安全生产监督管理部门责令限期改正，处10万元以上20万元以下的罚款；逾期不改正的，责令停产整顿。</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使用危险化学品从事生产并且使用量达到规定数量2倍以下的。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责令限期改正，处10万元以上13万元以下的罚款；逾期不改正的，责令停产整顿。</w:t>
            </w:r>
          </w:p>
        </w:tc>
        <w:tc>
          <w:tcPr>
            <w:tcW w:w="317"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21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使用危险化学品从事生产并且使用量达到规定数量2倍以上5倍以下的。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责令限期改正，处13万元以上17万元以下的罚款；逾期不改正的，责令停产整顿。</w:t>
            </w:r>
          </w:p>
        </w:tc>
        <w:tc>
          <w:tcPr>
            <w:tcW w:w="317"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21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使用危险化学品从事生产并且使用量达到规定数量5倍以上的。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责令限期改正，处17万元以上20万元以下的罚款；逾期不改正的，责令停产整顿。</w:t>
            </w:r>
          </w:p>
        </w:tc>
        <w:tc>
          <w:tcPr>
            <w:tcW w:w="317"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53</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危险化学品生产企业未提供化学品安全技术说明书或者未在包装（包括外包装件）上粘贴、拴挂化学品安全标签的行为的处罚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十五条第一款：危险化学品生产企业应当提供与其生产的危险化学品相符的化学品安全技术说明书，并在危险化学品包装（包括外包装件）上粘贴或者拴挂与包装内危险化学品相符的化学品安全标签。</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七十八条第一款：有下列情形之一的，由安全生产监督管理部门责令改正，可以处5万元以下的罚款；拒不改正的，处5万元以上10万元以下的罚款；情节严重的，责令停产停业整顿：</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（三）危险化学品生产企业未提供化学品安全技术说明书，或者未在包装（包括外包装件）上粘贴、拴挂化学品安全标签的；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由安全生产监督管理部门责令改正，可以处5万元以下的罚款；拒不改正的，处5万元以上10万元以下的罚款；情节严重的，责令停产停业整顿</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危险化学品生产企业在包装（包括外包装件）上粘贴、拴挂化学品安全标签，但未提供对应的化学品安全技术说明书的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责令改正，处1.5万元以下的罚款；拒不改正的，处5万元以上6.5万元以下的罚款。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危险化学品生产企业提供化学品安全技术说明书，但未在包装（包括外包装件）上粘贴、拴挂化学品安全标签的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责令改正，处1.5万元以上3.5万元以下的罚款；拒不改正的，处6.5万元以上8.5万元以下的罚款。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危险化学品生产企业未提供化学品安全技术说明书，且未在包装（包括外包装件）上粘贴、拴挂化学品安全标签的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责令改正，处3.5万元以上5万元以下的罚款；拒不改正的，处8.5万元以上10万元以下的罚款；情节严重的，责令停产停业整顿。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0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54</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危险化学品经营企业经营没有化学品安全技术说明书或化学品安全标签的危险化学品的行为的处罚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《危险化学品安全管理条例》第三十七条：危险化学品经营企业不得向未经许可从事危险化学品生产、经营活动的企业采购危险化学品，不得经营没有化学品安全技术说明书或者化学品安全标签的危险化学品。</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七十八条第一款：有下列情形之一的，由安全生产监督管理部门责令改正，可以处5万元以下的罚款；拒不改正的，处5万元以上10万元以下的罚款；情节严重的，责令停产停业整顿：</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（六）危险化学品经营企业经营没有化学品安全技术说明书和化学品安全标签的危险化学品的；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由安全生产监督管理部门责令改正，可以处5万元以下的罚款；拒不改正的，处5万元以上10万元以下的罚款；情节严重的，责令停产停业整顿</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危险化学品经营企业经营有化学品安全标签，但没有化学品安全技术说明书的危险化学品的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责令改正，可以处1.5万元以下的罚款；拒不改正的，处5万元以上6.5万元以下的罚款。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21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危险化学品经营企业经营有化学品安全技术说明书，但没有化学品安全标签的危险化学品的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责令改正，可以处1.5万元以上3.5万元以下的罚款；拒不改正的，处6.5万元以上8.5万元以下的罚款。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危险化学品经营企业经营没有化学品安全技术说明书且没有化学品安全标签的危险化学品的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责令改正，处3.5万元以上5万元以下的罚款；拒不改正的，处8.5万元以上10万元以下的罚款；情节严重的，责令停产停业整顿。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55</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储存危险化学品的单位未建立危险化学品出入库核查、登记制度的行为的处罚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《危险化学品安全管理条例》第二十五条第一款：储存危险化学品的单位应当建立危险化学品出入库核查、登记制度。</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七十八条第一款：有下列情形之一的，由安全生产监督管理部门责令改正，可以处5万元以下的罚款；拒不改正的，处5万元以上10万元以下的罚款；情节严重的，责令停产停业整顿：</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（十）储存危险化学品的单位未建立危险化学品出入库核查、登记制度的；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由安全生产监督管理部门责令改正，可以处5万元以下的罚款；拒不改正的，处5万元以上10万元以下的罚款；情节严重的，责令停产停业整顿</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储存危险化学品的单位有落实危险化学品出库核查登记工作，但未建立危险化学品出入库核查、登记制度的。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责令改正，可以处1.5万元以下的罚款；拒不改正的，处5万元以上6.5万元以下的罚款。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储存危险化学品的单位虽建立危险化学品出入库核查、登记制度，但未按制度要求对危险化学品实施出库核查、登记工作的。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责令改正，可以处1.5万元以上3.5万元以下的罚款；拒不改正的，处6.5万元以上8.5万元以下的罚款。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储存危险化学品的单位既未建立危险化学品出入库核查、登记制度，也未对危险化学品实施出库核查、登记工作的。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责令改正，处3.5万元以上5万元以下的罚款；拒不改正的，处8.5万元以上10万元以下的罚款；情节严重的，责令停产停业整顿。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56</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未将危险化学品储存在专用仓库内的行为的处罚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《危险化学品安全管理条例》第二十四条第一款：危险化学品应当储存在专用仓库、专用场地或者专用储存室（以下统称专用仓库）内，并由专人负责管理；</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八十条第一款：生产、储存、使用危险化学品的单位有下列情形之一的，由安全生产监督管理部门责令改正，处5万元以上10万元以下的罚款；拒不改正的，责令停产停业整顿直至由原发证机关吊销其相关许可证件，并由工商行政管理部门责令其办理经营范围变更登记或者吊销其营业执照；有关责任人员构成犯罪的，依法追究刑事责任：</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（四）未将危险化学品储存在专用仓库内，或者未将剧毒化学品以及储存数量构成重大危险源的其他危险化学品在专用仓库内单独存放的；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由安全生产监督管理部门责令改正，处5万元以上10万元以下的罚款；拒不改正的，责令停产停业整顿直至由原发证机关吊销其相关许可证件，并由工商行政管理部门责令其办理经营范围变更登记或者吊销其营业执照；有关责任人员构成犯罪的，依法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未将危险化学品储存在专用仓库内，且数量10吨以下的。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责令改正，处5万元以上6.5万元以下的罚款；拒不改正的，责令停产停业整顿直至由原发证机关吊销其相关许可证件。</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未将危险化学品储存在专用仓库内，且数量10吨以上50吨以下的。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责令改正，处6.5万元以上8.5万元以下的罚款；拒不改正的，责令停产停业整顿直至由原发证机关吊销其相关许可证件。</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未将危险化学品储存在专用仓库内，且数量50吨以上的。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责令改正，处8.5万元以上10万元以下的罚款；拒不改正的，责令停产停业整顿直至由原发证机关吊销其相关许可证件。</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57</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危险化学品的储存方式、方法或者储存数量不符合国家标准或者国家有关规定的行为的处罚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《危险化学品安全管理条例》第二十四条第二款：危险化学品的储存方式、方法以及储存数量应当符合国家标准或者国家有关规定。</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安全管理条例》第八十条第一款：生产、储存、使用危险化学品的单位有下列情形之一的，由安全生产监督管理部门责令改正，处5万元以上10万元以下的罚款；拒不改正的，责令停产停业整顿直至由原发证机关吊销其相关许可证件，并由工商行政管理部门责令其办理经营范围变更登记或者吊销其营业执照；有关责任人员构成犯罪的，依法追究刑事责任：（五）危险化学品的储存方式、方法或者储存数量不符合国家标准或者国家有关规定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由安全生产监督管理部门责令改正，处5万元以上10万元以下的罚款；拒不改正的，责令停产停业整顿直至由原发证机关吊销其相关许可证件，并由工商行政管理部门责令其办理经营范围变更登记或者吊销其营业执照；有关责任人员构成犯罪的，依法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危险化学品的储存方式、方法不符合国家标准或国家有关规定的；或危险化学品储量、品种超规定3倍以下的。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责令改正，处5万元以上6.5万元以下的罚款；拒不改正的，责令停产停业整顿直至由原发证机关吊销其相关许可证件。</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危险化学品储量、品种超规定3倍以上5倍以下的。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责令改正，处6.5万元以上8.5万元以下的罚款；拒不改正的，责令停产停业整顿直至由原发证机关吊销其相关许可证件。</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危险化学品储量、品种超规定5倍以上的。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责令改正，处8.5万元以上10万元以下的罚款；拒不改正的，责令停产停业整顿直至由原发证机关吊销其相关许可证件。</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58</w:t>
            </w:r>
          </w:p>
        </w:tc>
        <w:tc>
          <w:tcPr>
            <w:tcW w:w="37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对企业在安全生产许可证有效期届满未办理延期手续，继续进行生产的行为的处罚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440278193000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生产企业安全生产许可证实施办法》第三十三条第一款：安全生产许可证有效期为3年。企业安全生产许可证有效期届满后继续生产危险化学品的，应当在安全生产许可证有效期届满前3个月提出延期申请，并提交延期申请书和本办法第二十五条规定的申请文件、资料。</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生产企业安全生产许可证实施办法》第四十六条：企业在安全生产许可证有效期届满未办理延期手续，继续进行生产的，责令停止生产，限期补办延期手续，没收违法所得，并处5万元以上10万元以下的罚款；逾期仍不办理延期手续，继续进行生产的，依照本办法第四十五条的规定进行处罚。</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责令停止生产，限期补办延期手续，没收违法所得，并处5万元以上10万元以下的罚款；逾期仍不办理延期手续，继续进行生产的，依照本办法第四十五条的规定进行处罚。</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没有违法所得或违法所得5万元以下的。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责令停止生产，限期补办延期手续，没收违法所得，并处5万元以上7万元以下罚款；逾期仍不办理延期手续，继续进行生产的，依照《危险化学品生产企业安全生产许可证实施办法》第四十五条的规定进行处罚。</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违法所得5万元以上10万元以下的。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生产，限期补办延期手续，没收违法所得，并处7万元以上8万元以下的罚款；逾期仍不办理延期手续，继续进行生产的，依照《危险化学品生产企业安全生产许可证实施办法》第四十五条的规定进行处罚。</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568"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违法所得10万元以上15万元以下的。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生产，限期补办延期手续，没收违法所得，并处8万元以上9万元以下的罚款；逾期仍不办理延期手续，继续进行生产的，依照《危险化学品生产企业安全生产许可证实施办法》第四十五条的规定进行处罚。</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5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违法所得15万元以上的。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生产，限期补办延期手续，没收违法所得，并处9万元以上10万元以下的罚款；逾期仍不办理延期手续，继续进行生产的，依照《危险化学品生产企业安全生产许可证实施办法》第四十五条的规定进行处罚。</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59</w:t>
            </w:r>
          </w:p>
        </w:tc>
        <w:tc>
          <w:tcPr>
            <w:tcW w:w="37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对企业取得安全生产许可证后发现其不具备《危险化学品生产企业安全生产许可证实施办法》规定的安全生产条件的行为的处罚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440278189000</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《危险化学品生产企业安全生产许可证实施办法》第八条至第二十二条</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生产企业安全生产许可证实施办法》第四十三条：企业取得安全生产许可证后发现其不具备本办法规定的安全生产条件的，依法暂扣其安全生产许可证1个月以上6个月以下；暂扣期满仍不具备本办法规定的安全生产条件的，依法吊销其安全生产许可证。</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依法暂扣其安全生产许可证1个月以上6个月以下；暂扣期满仍不具备本办法规定的安全生产条件的，依法吊销其安全生产许可证。</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有1项条件不符合《危险化学品生产企业安全生产许可证实施办法》所规定申请安全生产许可证应具备的条件的。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暂扣安全生产许可证1个月以上6个月以下，暂扣期满仍不具备本办法规定的安全生产条件的，依法吊销其安全生产许可证。</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安全生产许可证颁发管理机关</w:t>
            </w: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有2项条件不符合《危险化学品生产企业安全生产许可证实施办法》所规定申请安全生产许可证应具备的条件的。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暂扣安全生产许可证3个月以上6个月以下，暂扣期满仍不具备本办法规定的安全生产条件的，依法吊销其安全生产许可证。</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有3项以上条件不符合《危险化学品生产企业安全生产许可证实施办法》所规定申请安全生产许可证应具备的条件的。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暂扣安全生产许可证4个月以上6个月以下，暂扣期满仍不具备本办法规定的安全生产条件的，依法吊销其安全生产许可证。</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663"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60</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未制定或者未落实领导带班制度的行为的处罚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广东省安全生产条例》第三十七条第一款：危险化学品生产企业以及构成危险化学品重大危险源的经营、储存、使用危险化学品的生产经营单位，应当制定并落实二十四小时专人值班和领导带班制度；动工、停工或者复工的，应当经主要负责人审批。</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广东省安全生产条例》第六十四条：危险化学品生产企业以及构成危险化学品重大危险源的经营、储存、使用危险化学品的生产经营单位，违反本条例第三十七条第一款、第二款规定，有下列情形之一的，责令限期改正，可以处三万元以下的罚款；逾期未改正的，责令停产停业整顿，并处三万元以上五万元以下的罚款，对其直接负责的主管人员和其他直接责任人员处一万元以上二万元以下的罚款：（一）未制定或者未落实领导带班制度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责令限期改正，可以处三万元以下的罚款；逾期未改正的，责令停产停业整顿，并处三万元以上五万元以下的罚款，对其直接负责的主管人员和其他直接责任人员处一万元以上二万元以下的罚款。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危险化学品生产企业以及构成危险化学品重大危险源的经营、储存、使用危险化学品的生产经营单位，已落实领导带班工作，但未制定领导带班制度的。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责令限期改正，可以处1万元以下的罚款；逾期未改正的，责令停产停业整顿，并处3万元以上4万元以下的罚款，对其直接负责的主管人员和其他直接责任人员处1万元以上1.3万元以下的罚款。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危险化学品生产企业以及构成危险化学品重大危险源的经营、储存、使用危险化学品的生产经营单位，已制定领导带班制度，但未落实领导带班制度的。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责令限期改正，可以处1万元以上2万元以下的罚款；逾期未改正的，责令停产停业整顿，并处4万元以上4.5万元以下的罚款，对其直接负责的主管人员和其他直接责任人员处1.3万元以上1.7万元以下的罚款。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危险化学品生产企业以及构成危险化学品重大危险源的经营、储存、使用危险化学品的生产经营单位，未制定且未落实领导带班制度的。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责令限期改正，可以处2万元以上3万元以下的罚款；逾期未改正的，责令停产停业整顿，并处4.5万元以上5万元以下的罚款，对其直接负责的主管人员和其他直接责任人员处1.7万元以上2万元以下的罚款。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61</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动工、停工或者复工，未经主要负责人审批的行为的处罚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广东省安全生产条例》第三十七条第一款：危险化学品生产企业以及构成危险化学品重大危险源的经营、储存、使用危险化学品的生产经营单位，应当制定并落实二十四小时专人值班和领导带班制度；动工、停工或者复工的，应当经主要负责人审批。</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广东省安全生产条例》第六十四条：危险化学品生产企业以及构成危险化学品重大危险源的经营、储存、使用危险化学品的生产经营单位，违反本条例第三十七条第一款、第二款规定，有下列情形之一的，责令限期改正，可以处三万元以下的罚款；逾期未改正的，责令停产停业整顿，并处三万元以上五万元以下的罚款，对其直接负责的主管人员和其他直接责任人员处一万元以上二万元以下的罚款：（二）动工、停工或者复工，未经主要负责人审批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责令限期改正，可以处三万元以下的罚款；逾期未改正的，责令停产停业整顿，并处三万元以上五万元以下的罚款，对其直接负责的主管人员和其他直接责任人员处一万元以上二万元以下的罚款。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未经主要负责人审批，但由主要负责人授权委托其他负责人审批动工、停工或者复工的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责令限期改正，可以处1万元以下的罚款；逾期未改正的，责令停产停业整顿，并处3万元以上4万元以下的罚款，对其直接负责的主管人员和其他直接责任人员处1万元以上1.3万元以下的罚款。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一个停工周期内的停工或者复工，未经主要负责人或其授权委托的其他负责人审批的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责令限期改正，可以处1万元以上2万元以下的罚款；逾期未改正的，责令停产停业整顿，并处4万元以上4.5万元以下的罚款，对其直接负责的主管人员和其他直接责任人员处1.3万元以上1.7万元以下的罚款。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动工，或一个停工周期内的停工和复工，未经主要负责人或其授权委托的其他负责人审批的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责令限期改正，可以处2万元以上3万元以下的罚款；逾期未改正的，责令停产停业整顿，并处4.5万元以上5万元以下的罚款，对其直接负责的主管人员和其他直接责任人员处1.7万元以上2万元以下的罚款。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24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62</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进行有限空间作业、火灾爆炸危险区域或者管廊上的动火作业，未经安全生产管理机构负责人、安全生产分管负责人或者主要负责人审批的行为的处罚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广东省安全生产条例》第三十七条第二款：危险化学品生产企业以及构成危险化学品重大危险源的经营、储存、使用危险化学品的生产经营单位进行有限空间作业、火灾爆炸危险区域或者管廊上的动火作业的，应当制定作业方案，经安全生产管理机构负责人、安全生产分管负责人或者主要负责人审批后开具安全作业票证。未取得有效的安全作业票证，一律不得进行动火、有限空间作业。</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广东省安全生产条例》第六十四条：危险化学品生产企业以及构成危险化学品重大危险源的经营、储存、使用危险化学品的生产经营单位，违反本条例第三十七条第一款、第二款规定，有下列情形之一的，责令限期改正，可以处三万元以下的罚款；逾期未改正的，责令停产停业整顿，并处三万元以上五万元以下的罚款，对其直接负责的主管人员和其他直接责任人员处一万元以上二万元以下的罚款：（三）进行有限空间作业、火灾爆炸危险区域或者管廊上的动火作业，未经安全生产管理机构负责人、安全生产分管负责人或者主要负责人审批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责令限期改正，可以处三万元以下的罚款；逾期未改正的，责令停产停业整顿，并处三万元以上五万元以下的罚款，对其直接负责的主管人员和其他直接责任人员处一万元以上二万元以下的罚款。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生产企业以及构成危险化学品重大危险源的经营、储存、使用危险化学品的生产经营单位进行有限空间作业、火灾爆炸危险区域或者管廊上的动火作业，未经安全生产管理机构负责人、安全生产分管负责人或者主要负责人审批，发现三处以下未审批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责令限期改正，可以处1万元以下的罚款；逾期未改正的，责令停产停业整顿，并处3万元以上4万元以下的罚款，对其直接负责的主管人员和其他直接责任人员处1万元以上1.3万元以下的罚款。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5083"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生产企业以及构成危险化学品重大危险源的经营、储存、使用危险化学品的生产经营单位进行有限空间作业、火灾爆炸危险区域或者管廊上的动火作业，未经安全生产管理机构负责人、安全生产分管负责人或者主要负责人审批，发现三处以上六处以下未审批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责令限期改正，可以处1万元以上2万元以下的罚款；逾期未改正的，责令停产停业整顿，并处4万元以上4.5万元以下的罚款，对其直接负责的主管人员和其他直接责任人员处1.3万元以上1.7万元以下的罚款。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4783"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危险化学品生产企业以及构成危险化学品重大危险源的经营、储存、使用危险化学品的生产经营单位进行有限空间作业、火灾爆炸危险区域或者管廊上的动火作业，未经安全生产管理机构负责人、安全生产分管负责人或者主要负责人审批，发现六处或以上未审批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责令限期改正，可以处2万元以上3万元以下的罚款；逾期未改正的，责令停产停业整顿，并处4.5万元以上5万元以下的罚款，对其直接负责的主管人员和其他直接责任人员处1.7万元以上2万元以下的罚款。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405" w:hRule="atLeast"/>
        </w:trPr>
        <w:tc>
          <w:tcPr>
            <w:tcW w:w="5000" w:type="pct"/>
            <w:gridSpan w:val="10"/>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8"/>
                <w:szCs w:val="28"/>
              </w:rPr>
            </w:pPr>
            <w:r>
              <w:rPr>
                <w:rFonts w:hint="eastAsia" w:ascii="仿宋_GB2312" w:hAnsi="宋体" w:eastAsia="仿宋_GB2312" w:cs="宋体"/>
                <w:b/>
                <w:bCs/>
                <w:kern w:val="0"/>
                <w:sz w:val="28"/>
                <w:szCs w:val="28"/>
              </w:rPr>
              <w:t>工矿商贸类</w:t>
            </w:r>
          </w:p>
        </w:tc>
      </w:tr>
      <w:tr>
        <w:tblPrEx>
          <w:tblCellMar>
            <w:top w:w="0" w:type="dxa"/>
            <w:left w:w="108" w:type="dxa"/>
            <w:bottom w:w="0" w:type="dxa"/>
            <w:right w:w="108" w:type="dxa"/>
          </w:tblCellMar>
        </w:tblPrEx>
        <w:trPr>
          <w:trHeight w:val="405" w:hRule="atLeast"/>
        </w:trPr>
        <w:tc>
          <w:tcPr>
            <w:tcW w:w="153"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序号</w:t>
            </w:r>
          </w:p>
        </w:tc>
        <w:tc>
          <w:tcPr>
            <w:tcW w:w="37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违法行为</w:t>
            </w:r>
          </w:p>
        </w:tc>
        <w:tc>
          <w:tcPr>
            <w:tcW w:w="25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基本编码</w:t>
            </w:r>
          </w:p>
        </w:tc>
        <w:tc>
          <w:tcPr>
            <w:tcW w:w="826"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法律规定</w:t>
            </w:r>
          </w:p>
        </w:tc>
        <w:tc>
          <w:tcPr>
            <w:tcW w:w="930"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处罚依据</w:t>
            </w:r>
          </w:p>
        </w:tc>
        <w:tc>
          <w:tcPr>
            <w:tcW w:w="736"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处罚种类及幅度</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违法程度</w:t>
            </w:r>
          </w:p>
        </w:tc>
        <w:tc>
          <w:tcPr>
            <w:tcW w:w="468" w:type="pct"/>
            <w:tcBorders>
              <w:top w:val="nil"/>
              <w:left w:val="nil"/>
              <w:bottom w:val="single" w:color="auto" w:sz="4"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处罚裁量情节</w:t>
            </w:r>
          </w:p>
        </w:tc>
        <w:tc>
          <w:tcPr>
            <w:tcW w:w="649"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处罚裁量标准</w:t>
            </w:r>
          </w:p>
        </w:tc>
        <w:tc>
          <w:tcPr>
            <w:tcW w:w="31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实施主体</w:t>
            </w:r>
          </w:p>
        </w:tc>
      </w:tr>
      <w:tr>
        <w:tblPrEx>
          <w:tblCellMar>
            <w:top w:w="0" w:type="dxa"/>
            <w:left w:w="108" w:type="dxa"/>
            <w:bottom w:w="0" w:type="dxa"/>
            <w:right w:w="108" w:type="dxa"/>
          </w:tblCellMar>
        </w:tblPrEx>
        <w:trPr>
          <w:trHeight w:val="202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63</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取得安全生产许可证的非煤矿矿山企业不再具备安全生产条件的行为的处罚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《非煤矿矿山企业安全生产许可证实施办法》第六条：非煤矿矿山企业取得安全生产许可证，应当具备下列安全生产条件：</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建立健全主要负责人、分管负责人、安全生产管理人员、职能部门、岗位安全生产责任制；制定安全检查制度、职业危害预防制度、安全教育培训制度、生产安全事故管理制度、重大危险源监控和重大隐患整改制度、设备安全管理制度、安全生产档案管理制度、安全生产奖惩制度等规章制度；制定作业安全规程和各工种操作规程；</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（二）安全投入符合安全生产要求，依照国家有关规定足额提取安全生产费用；</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（三）设置安全生产管理机构，或者配备专职安全生产管理人员；</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（四）主要负责人和安全生产管理人员经安全生产监督管理部门考核合格，取得安全资格证书；</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（五）特种作业人员经有关业务主管部门考核合格，取得特种作业操作资格证书；</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（六）其他从业人员依照规定接受安全生产教育和培训，并经考试合格；</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（七）依法参加工伤保险，为从业人员缴纳保险费；</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（八）制定防治职业危害的具体措施，并为从业人员配备符合国家标准或者行业标准的劳动防护用品；</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（九）新建、改建、扩建工程项目依法进行安全评价，其安全设施经验收合格；</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（十）危险性较大的设备、设施按照国家有关规定进行定期检测检验；</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十一）制定事故应急救援预案，建立事故应急救援组织,配备必要的应急救援器材、设备；生产规模较小可以不建立事故应急救援组织的，应当指定兼职的应急救援人员，并与邻近的矿山救护队或者其他应急救援组织签订救护协议；</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（十二）符合有关国家标准、行业标准规定的其他条件。</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《非煤矿矿山企业安全生产许可证实施办法》第四十条：取得安全生产许可证的非煤矿矿山企业不再具备本实施办法第六条规定的安全生产条件之一的，应当暂扣或者吊销其安全生产许可证。</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暂扣或者吊销其安全生产许可证。</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不符合1项条件。</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暂扣安全生产许可证1个月以上6个月以下，暂扣安全生产许可证后未按期整改或者整改后仍不具备安全生产条件的，依法吊销其安全生产许可证。</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安全生产许可证颁发管理机关</w:t>
            </w:r>
          </w:p>
        </w:tc>
      </w:tr>
      <w:tr>
        <w:tblPrEx>
          <w:tblCellMar>
            <w:top w:w="0" w:type="dxa"/>
            <w:left w:w="108" w:type="dxa"/>
            <w:bottom w:w="0" w:type="dxa"/>
            <w:right w:w="108" w:type="dxa"/>
          </w:tblCellMar>
        </w:tblPrEx>
        <w:trPr>
          <w:trHeight w:val="202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不符合2项条件。</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暂扣安全生产许可证3个月以上6个月以下，暂扣安全生产许可证后未按期整改或者整改后仍不具备安全生产条件的，依法吊销其安全生产许可证。</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232"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不符合3项或以上条件。</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暂扣安全生产许可证4个月以上6个月以下，暂扣安全生产许可证后未按期整改或者整改后仍不具备安全生产条件的，依法吊销其安全生产许可证。</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81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64</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非煤矿山企业未取得安全生产许可证，擅自进行生产的行为的处罚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《非煤矿矿山企业安全生产许可证实施办法》第二条：非煤矿矿山企业必须依照本实施办法的规定取得安全生产许可证。</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未取得安全生产许可证的，不得从事生产活动。</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《非煤矿矿山企业安全生产许可证实施办法》第四十二条：非煤矿矿山企业有下列行为之一的，责令停止生产，没收违法所得，并处10万元以上50万元以下的罚款：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（一）未取得安全生产许可证，擅自进行生产的；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责令停止生产，没收违法所得，并处10万元以上50万元以下的罚款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没有违法所得的。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责令停止生产，并处10万元以上20万元以下的罚款。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81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违法所得100万元以下的。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责令停止生产，没收违法所得，并处20万元以上30万元以下的罚款。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81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违法所得100万元以上500万元以下的。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责令停止生产，没收违法所得，并处30万元以上40万元以下的罚款。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81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违法所得500万元以上的。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责令停止生产，没收违法所得，并处40万元以上50万元以下的罚款。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435"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65</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非煤矿矿山企业转让安全生产许可证的行为的处罚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《非煤矿矿山企业安全生产许可证实施办法》第二十七条：非煤矿矿山企业不得转让、冒用、买卖、出租、出借或者使用伪造的安全生产许可证。</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《非煤矿矿山企业安全生产许可证实施办法》第四十六条：非煤矿矿山企业转让安全生产许可证的，没收违法所得，并处10万元以上50万元以下的罚款。</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没收违法所得，并处10万元以上50万元以下的罚款。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没有违法所得。</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处10万元以上20万元以下的罚款。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81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违法所得100万元以下的。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没收违法所得，并处20万元以上30万元以下的罚款。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81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违法所得100万元以上500万元以下的。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没收违法所得，并处30万元以上40万元以下的罚款。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81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违法所得500万元以上的。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没收违法所得，并处40万元以上50万元以下的罚款。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66</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未按照规定设置明显的有限空间安全警示标志的行为的处罚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《工贸企业有限空间作业安全规定》第十一条：工贸企业应当在有限空间出入口等醒目位置设置明显的安全警示标志，并在具备条件的场所设置安全风险告知牌。</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有限空间作业安全规定》第十九条：工贸企业有下列行为之一的，责令限期改正，处5万元以下的罚款；逾期未改正的，处5万元以上20万元以下的罚款，对其直接负责的主管人员和其他直接责任人员处1万元以上2万元以下的罚款；情节严重的，责令停产停业整顿；构成犯罪的，依照刑法有关规定追究刑事责任：（一）未按照规定设置明显的有限空间安全警示标志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5万元以下的罚款；逾期未改正的，处5万元以上20万元以下的罚款，对其直接负责的主管人员和其他直接责任人员处1万元以上2万元以下的罚款；情节严重的，责令停产停业整顿；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未按照规定设置明显的有限空间安全警示标志，有3处以下的。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责令限期改正，处1.5万元以下的罚款；逾期未改正的，处5万元以上10万元以下的罚款，对其直接负责的主管人员和其他直接责任人员处1万元以上1.3万元以下的罚款；情节严重的，责令停产停业整顿。</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未按照规定设置明显的有限空间安全警示标志，有3处以上6处以下的。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上3.5万元以下的罚款；逾期未改正的，处10万元以上15万元以下的罚款，对其直接负责的主管人员和其他直接责任人员处1.3万元以上1.7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未按照规定设置明显的有限空间安全警示标志，有6处或以上的。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责令限期改正，处3.5万元以上5万元以下的罚款；逾期未改正的，处15万元以上20万元以下的罚款，对其直接负责的主管人员和其他直接责任人员处1.7万元以上2万元以下的罚款；情节严重的，责令停产停业整顿。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67</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未按照规定配备、使用符合国家标准或者行业标准的有限空间作业安全仪器、设备、装备和器材的，或者未对其进行经常性维护、保养和定期检测的行为的处罚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有限空间作业安全规定》第十三条：工贸企业应当根据有限空间危险因素的特点，配备符合国家标准或者行业标准的气体检测报警仪器、机械通风设备、呼吸防护用品、全身式安全带等防护用品和应急救援装备，并对相关用品、装备进行经常性维护、保养和定期检测，确保能够正常使用。</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有限空间作业安全规定》第十九条：工贸企业有下列行为之一的，责令限期改正，处5万元以下的罚款；逾期未改正的，处5万元以上20万元以下的罚款，对其直接负责的主管人员和其他直接责任人员处1万元以上2万元以下的罚款；情节严重的，责令停产停业整顿；构成犯罪的，依照刑法有关规定追究刑事责任：</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（二）未按照规定配备、使用符合国家标准或者行业标准的有限空间作业安全仪器、设备、装备和器材的，或者未对其进行经常性维护、保养和定期检测的。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5万元以下的罚款；逾期未改正的，处5万元以上20万元以下的罚款，对其直接负责的主管人员和其他直接责任人员处1万元以上2万元以下的罚款；情节严重的，责令停产停业整顿；构成犯罪的，依照刑法有关规定追究刑事责任。</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未按照规定对符合国家标准或者行业标准的有限空间作业安全仪器、设备、装备和器材进行经常性维护、保养和定期检测的。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责令限期改正，处1.5万元以下的罚款；逾期未改正的，处5万元以上10万元以下的罚款，对其直接负责的主管人员和其他直接责任人员处1万元以上1.3万元以下的罚款；情节严重的，责令停产停业整顿。</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未按照规定配备、使用符合国家标准或者行业标准的有限空间作业安全仪器、设备、装备和器材2类或以下的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上3.5万元以下的罚款；逾期未改正的，处10万元以上15万元以下的罚款，对其直接负责的主管人员和其他直接责任人员处1.3万元以上1.7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835"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未按照规定配备、使用符合国家标准或者行业标准的有限空间作业安全仪器、设备、装备和器材3类或以上的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责令限期改正，处3.5万元以上5万元以下的罚款；逾期未改正的，处15万元以上20万元以下的罚款，对其直接负责的主管人员和其他直接责任人员处1.7万元以上2万元以下的罚款；情节严重的，责令停产停业整顿。</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046"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68</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未按照规定开展有限空间作业专题安全培训或者未如实记录安全培训情况的行为的处罚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《工贸企业有限空间作业安全规定》第九条：工贸企业应当每年至少组织一次有限空间作业专题安全培训，对作业审批人、监护人员、作业人员和应急救援人员培训有限空间作业安全知识和技能，并如实记录。</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有限空间作业安全规定》第二十条：工贸企业有下列行为之一的，责令限期改正，处10万元以下的罚款；逾期未改正的，责令停产停业整顿，并处10万元以上20万元以下的罚款，对其直接负责的主管人员和其他直接责任人员处2万元以上5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（一）未按照规定开展有限空间作业专题安全培训或者未如实记录安全培训情况的；　　</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责令限期改正，处10万元以下的罚款；逾期未改正的，责令停产停业整顿，并处10万元以上20万元以下的罚款，对其直接负责的主管人员和其他直接责任人员处2万元以上5万元以下的罚款。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已按照规定开展有限空间作业专题安全培训，但未如实记录安全培训情况的。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责令限期改正，处3万元以下的罚款；逾期未改正的，责令停产停业整顿，并处10万元以上13万元以下的罚款，对其直接负责的主管人员和其他直接责任人员处2万元以上3万元以下的罚款。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未对2类或以下人员按照规定开展有限空间作业专题安全培训</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责令限期改正，处3万元以上7万元以下的罚款；逾期未改正的，责令停产停业整顿，并处13万元以上17万元以下的罚款，对其直接负责的主管人员和其他直接责任人员处3万元以上4万元以下的罚款。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未对3类或以上人员按照规定开展有限空间作业专题安全培训</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责令限期改正，处7万元以上10万元以下的罚款；逾期未改正的，责令停产停业整顿，并处17万元以上20万元以下的罚款，对其直接负责的主管人员和其他直接责任人员处4万元以上5万元以下的罚款。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69</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未按照规定制定有限空间作业现场处置方案或者未按照规定组织演练的行为的处罚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《工贸企业有限空间作业安全规定》第十条：工贸企业应当制定有限空间作业现场处置方案，按规定组织演练，并进行演练效果评估。</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有限空间作业安全规定》第二十条：工贸企业有下列行为之一的，责令限期改正，处10万元以下的罚款；逾期未改正的，责令停产停业整顿，并处10万元以上20万元以下的罚款，对其直接负责的主管人员和其他直接责任人员处2万元以上5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（二）未按照规定制定有限空间作业现场处置方案或者未按照规定组织演练的。　　</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责令限期改正，处10万元以下的罚款；逾期未改正的，责令停产停业整顿，并处10万元以上20万元以下的罚款，对其直接负责的主管人员和其他直接责任人员处2万元以上5万元以下的罚款。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已组织演练，但未按照规定制定有限空间作业现场处置方案的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责令限期改正，处3万元以下的罚款；逾期未改正的，责令停产停业整顿，并处10万元以上13万元以下的罚款，对其直接负责的主管人员和其他直接责任人员处2万元以上3万元以下的罚款。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已按照规定制定有限空间作业现场处置方案，但未组织演练的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责令限期改正，处3万元以上7万元以下的罚款；逾期未改正的，责令停产停业整顿，并处13万元以上17万元以下的罚款，对其直接负责的主管人员和其他直接责任人员处3万元以上4万元以下的罚款。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既未按照规定制定有限空间作业现场处置方案，且未按照规定组织演练的。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责令限期改正，处7万元以上10万元以下的罚款；逾期未改正的，责令停产停业整顿，并处17万元以上20万元以下的罚款，对其直接负责的主管人员和其他直接责任人员处4万元以上5万元以下的罚款。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57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70</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未配备监护人员，或者监护人员未按规定履行岗位职责的行为的处罚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《工贸企业有限空间作业安全规定》第五条：工贸企业应当实行有限空间作业监护制，明确专职或者兼职的监护人员，负责监督有限空间作业安全措施的落实。</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监护人员应当具备与监督有限空间作业相适应的安全知识和应急处置能力，能够正确使用气体检测、机械通风、呼吸防护、应急救援等用品、装备。</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《工贸企业有限空间作业安全规定》第二十一条：违反本规定，有下列情形之一的，责令限期改正，对工贸企业处5万元以下的罚款，对其直接负责的主管人员和其他直接责任人员处1万元以下的罚款：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（一）未配备监护人员，或者监护人员未按规定履行岗位职责的；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责令限期改正，对工贸企业处5万元以下的罚款，对其直接负责的主管人员和其他直接责任人员处1万元以下的罚款。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未按照规定明确监护人员且未实施有限空间作业的。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责令限期改正，处1.5万元以下的罚款，对其直接负责的主管人员和其他直接责任人员处0.3万元以下的罚款。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有限空间作业期间监护人员未按规定履行岗位职责的或非明确的监护人员到场监护（有其他人员到场监护）的。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责令限期改正，处1.5万元以上3.5万元以下的罚款，对其直接负责的主管人员和其他直接责任人员处0.3万元以上0.7万元以下的罚款。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未按照规定配备监护人员且已完成或者正在实施有限空间作业的。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责令限期改正，处3.5万元以上5万元以下的罚款，对其直接负责的主管人员和其他直接责任人员处0.7万元以上1万元以下的罚款。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71</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未对有限空间进行辨识，或者未建立有限空间管理台账的行为的处罚</w:t>
            </w:r>
          </w:p>
        </w:tc>
        <w:tc>
          <w:tcPr>
            <w:tcW w:w="25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《工贸企业有限空间作业安全规定》第六条第一款：工贸企业应当对有限空间进行辨识，建立有限空间管理台账，明确有限空间数量、位置以及危险因素等信息，并及时更新。</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《工贸企业有限空间作业安全规定》第二十一条：违反本规定，有下列情形之一的，责令限期改正，对工贸企业处5万元以下的罚款，对其直接负责的主管人员和其他直接责任人员处1万元以下的罚款：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（二）未对有限空间进行辨识，或者未建立有限空间管理台账的；</w:t>
            </w:r>
          </w:p>
        </w:tc>
        <w:tc>
          <w:tcPr>
            <w:tcW w:w="73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责令限期改正，对工贸企业处5万元以下的罚款，对其直接负责的主管人员和其他直接责任人员处1万元以下的罚款。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有4处或以下有限空间，未进行辨识或未建立相应有限空间管理台账的。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责令限期改正，处1.5万元以下的罚款，对其直接负责的主管人员和其他直接责任人员处0.3万元以下的罚款。</w:t>
            </w:r>
          </w:p>
        </w:tc>
        <w:tc>
          <w:tcPr>
            <w:tcW w:w="317"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有5-9处有限空间，未进行辨识或未建立相应有限空间管理台账的。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责令限期改正，处1.5万元以上3.5万元以下的罚款，对其直接负责的主管人员和其他直接责任人员处0.3万元以上0.7万元以下的罚款。</w:t>
            </w:r>
          </w:p>
        </w:tc>
        <w:tc>
          <w:tcPr>
            <w:tcW w:w="317"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有10处及以上有限空间，未进行辨识或未建立相应有限空间管理台账的。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责令限期改正，处3.5万元以上5万元以下的罚款，对其直接负责的主管人员和其他直接责任人员处0.7万元以上1万元以下的罚款。</w:t>
            </w:r>
          </w:p>
        </w:tc>
        <w:tc>
          <w:tcPr>
            <w:tcW w:w="317"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75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72</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未落实有限空间作业审批，或者作业未执行“先通风、再检测、后作业”要求的行为的处罚</w:t>
            </w:r>
          </w:p>
        </w:tc>
        <w:tc>
          <w:tcPr>
            <w:tcW w:w="25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《工贸企业有限空间作业安全规定》第七条：工贸企业应当根据有限空间作业安全风险大小，明确审批要求。</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对于存在硫化氢、一氧化碳、二氧化碳等中毒和窒息等风险的有限空间作业，应当由工贸企业主要负责人或者其书面委托的人员进行审批，委托进行审批的，相关责任仍由工贸企业主要负责人承担。</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 xml:space="preserve">未经工贸企业确定的作业审批人批准，不得实施有限空间作业。                       </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第十四条：有限空间作业应当严格遵守“先通风、再检测、后作业”要求。存在爆炸风险的，应当采取消除或者控制措施，相关电气设施设备、照明灯具、应急救援装备等应当符合防爆安全要求。</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作业前，应当组织对作业人员进行安全交底，监护人员应当对通风、检测和必要的隔断、清除、置换等风险管控措施逐项进行检查，确认防护用品能够正常使用且作业现场配备必要的应急救援装备，确保各项作业条件符合安全要求。有专业救援队伍的工贸企业，应急救援人员应当做好应急救援准备，确保及时有效处置突发情况。</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《工贸企业有限空间作业安全规定》第二十一条：违反本规定，有下列情形之一的，责令限期改正，对工贸企业处5万元以下的罚款，对其直接负责的主管人员和其他直接责任人员处1万元以下的罚款：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（三）未落实有限空间作业审批，或者作业未执行“先通风、再检测、后作业”要求的；</w:t>
            </w:r>
          </w:p>
        </w:tc>
        <w:tc>
          <w:tcPr>
            <w:tcW w:w="73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责令限期改正，对工贸企业处5万元以下的罚款，对其直接负责的主管人员和其他直接责任人员处1万元以下的罚款。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有1处有限空间作业，未落实有限空间作业审批，或者作业未执行“先通风、再检测、后作业”要求的。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责令限期改正，处1.5万元以下的罚款，对其直接负责的主管人员和其他直接责任人员处0.3万元以下的罚款。</w:t>
            </w:r>
          </w:p>
        </w:tc>
        <w:tc>
          <w:tcPr>
            <w:tcW w:w="317"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有2-3处有限空间作业，未落实有限空间作业审批，或者作业未执行“先通风、再检测、后作业”要求的。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责令限期改正，处1.5万元以上3.5万元以下的罚款，对其直接负责的主管人员和其他直接责任人员处0.3万元以上0.7万元以下的罚款。</w:t>
            </w:r>
          </w:p>
        </w:tc>
        <w:tc>
          <w:tcPr>
            <w:tcW w:w="317"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有4处或以上有限空间作业，未落实有限空间作业审批，或者作业未执行“先通风、再检测、后作业”要求的。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责令限期改正，处3.5万元以上5万元以下的罚款，对其直接负责的主管人员和其他直接责任人员处0.7万元以上1万元以下的罚款。</w:t>
            </w:r>
          </w:p>
        </w:tc>
        <w:tc>
          <w:tcPr>
            <w:tcW w:w="317"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73</w:t>
            </w:r>
          </w:p>
        </w:tc>
        <w:tc>
          <w:tcPr>
            <w:tcW w:w="37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未按要求进行通风和气体检测的行为的处罚</w:t>
            </w:r>
          </w:p>
        </w:tc>
        <w:tc>
          <w:tcPr>
            <w:tcW w:w="259"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《工贸企业有限空间作业安全规定》第十五条：监护人员应当全程进行监护，与作业人员保持实时联络，不得离开作业现场或者进入有限空间参与作业。</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发现异常情况时，监护人员应当立即组织作业人员撤离现场。发生有限空间作业事故后，应当立即按照现场处置方案进行应急处置，组织科学施救。未做好安全措施盲目施救的，监护人员应当予以制止。</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作业过程中，工贸企业应当安排专人对作业区域持续进行通风和气体浓度检测。作业中断的，作业人员再次进入有限空间作业前，应当重新通风、气体检测合格后方可进入。</w:t>
            </w:r>
          </w:p>
        </w:tc>
        <w:tc>
          <w:tcPr>
            <w:tcW w:w="930"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《工贸企业有限空间作业安全规定》第二十一条：违反本规定，有下列情形之一的，责令限期改正，对工贸企业处5万元以下的罚款，对其直接负责的主管人员和其他直接责任人员处1万元以下的罚款：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（四）未按要求进行通风和气体检测的。</w:t>
            </w:r>
          </w:p>
        </w:tc>
        <w:tc>
          <w:tcPr>
            <w:tcW w:w="736" w:type="pct"/>
            <w:vMerge w:val="restart"/>
            <w:tcBorders>
              <w:top w:val="nil"/>
              <w:left w:val="single" w:color="auto" w:sz="4" w:space="0"/>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责令限期改正，对工贸企业处5万元以下的罚款，对其直接负责的主管人员和其他直接责任人员处1万元以下的罚款。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有1处有限空间作业，未按要求进行通风和气体检测的。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责令限期改正，处1.5万元以下的罚款，对其直接负责的主管人员和其他直接责任人员处0.3万元以下的罚款。</w:t>
            </w:r>
          </w:p>
        </w:tc>
        <w:tc>
          <w:tcPr>
            <w:tcW w:w="317"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有2-3处有限空间作业，未按要求进行通风和气体检测的。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责令限期改正，处1.5万元以上3.5万元以下的罚款，对其直接负责的主管人员和其他直接责任人员处0.3万元以上0.7万元以下的罚款。</w:t>
            </w:r>
          </w:p>
        </w:tc>
        <w:tc>
          <w:tcPr>
            <w:tcW w:w="317"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有4处或以上有限空间作业，未按要求进行通风和气体检测的。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责令限期改正，处3.5万元以上5万元以下的罚款，对其直接负责的主管人员和其他直接责任人员处0.7万元以上1万元以下的罚款。</w:t>
            </w:r>
          </w:p>
        </w:tc>
        <w:tc>
          <w:tcPr>
            <w:tcW w:w="317"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787"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74</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企业新建、改建、扩建工程项目安全设施没有进行粉尘防爆安全设计，或者未按照设计进行施工的行为的处罚</w:t>
            </w:r>
          </w:p>
        </w:tc>
        <w:tc>
          <w:tcPr>
            <w:tcW w:w="259"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粉尘防爆安全规定》第十三条：粉尘涉爆企业新建、改建、扩建涉及粉尘爆炸危险的工程项目安全设施的设计、施工应当按照《粉尘防爆安全规程》等有关国家标准或者行业标准，在安全设施设计文件、施工方案中明确粉尘防爆的相关内容。</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设计单位应当对安全设施粉尘防爆相关的设计负责，施工单位应当按照设计进行施工，并对施工质量负责。</w:t>
            </w:r>
          </w:p>
        </w:tc>
        <w:tc>
          <w:tcPr>
            <w:tcW w:w="930"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粉尘防爆安全规定》第三十条：粉尘涉爆企业有下列情形之一的，由负责粉尘涉爆企业安全监管的部门责令限期改正，处3万元以下的罚款，对其直接负责的主管人员和其他直接责任人员处1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（一）企业新建、改建、扩建工程项目安全设施没有进行粉尘防爆安全设计，或者未按照设计进行施工的；</w:t>
            </w:r>
          </w:p>
        </w:tc>
        <w:tc>
          <w:tcPr>
            <w:tcW w:w="736"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由负责粉尘涉爆企业安全监管的部门责令限期改正，处3万元以下的罚款，对其直接负责的主管人员和其他直接责任人员处1万元以下的罚款。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建设项目总投资额在1000万元以下的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责令限期改正，处1万元以下的罚款，对其直接负责的主管人员和其他直接责任人员处0.3万元以下的罚款</w:t>
            </w:r>
          </w:p>
        </w:tc>
        <w:tc>
          <w:tcPr>
            <w:tcW w:w="317"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建设项目总投资额在1000万元以上3000万元以下的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责令限期改正，处1万元以上2万元以下的罚款，对其直接负责的主管人员和其他直接责任人员处0.3万元以上0.7万元以下的罚款</w:t>
            </w:r>
          </w:p>
        </w:tc>
        <w:tc>
          <w:tcPr>
            <w:tcW w:w="317"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建设项目总投资额在3000万元以上的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责令限期改正，处2万元以上3万元以下的罚款，对其直接负责的主管人员和其他直接责任人员处0.7万元以上1万元以下的罚款</w:t>
            </w:r>
          </w:p>
        </w:tc>
        <w:tc>
          <w:tcPr>
            <w:tcW w:w="317" w:type="pct"/>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75</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未按照规定建立粉尘防爆安全管理制度或者内容不符合企业实际的行为的处罚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《工贸企业粉尘防爆安全规定》第七条：粉尘涉爆企业应当结合企业实际情况建立和落实粉尘防爆安全管理制度。粉尘防爆安全管理制度应当包括下列内容：</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（一）粉尘爆炸风险辨识评估和管控；</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（二）粉尘爆炸事故隐患排查治理；</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（三）粉尘作业岗位安全操作规程；</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（四）粉尘防爆专项安全生产教育和培训；</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（五）粉尘清理和处置；</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（六）除尘系统和相关安全设施设备运行、维护及检修、维修管理；</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（七）粉尘爆炸事故应急处置和救援。</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粉尘防爆安全规定》第三十条：粉尘涉爆企业有下列情形之一的，由负责粉尘涉爆企业安全监管的部门责令限期改正，处3万元以下的罚款，对其直接负责的主管人员和其他直接责任人员处1万元以下的罚款：（二）未按照规定建立粉尘防爆安全管理制度或者内容不符合企业实际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由负责粉尘涉爆企业安全监管的部门责令限期改正，处3万元以下的罚款，对其直接负责的主管人员和其他直接责任人员处1万元以下的罚款。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粉尘防爆安全管理制度七项内容中存在缺漏1-2项或者1-2项内容不符合企业实际的。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责令限期改正，处1万元以下的罚款，对其直接负责的主管人员和其他直接责任人员处0.3万元以下的罚款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粉尘防爆安全管理制度七项内容中存在缺漏3-5项或者3-5项内容不符合企业实际的。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责令限期改正，处1万元以上2万元以下的罚款，对其直接负责的主管人员和其他直接责任人员处0.3万元以上0.7万元以下的罚款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粉尘防爆安全管理制度未建立或者七项内容中存在缺漏6项及以上或者6项及以上内容不符合企业实际的。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责令限期改正，处2万元以上3万元以下的罚款，对其直接负责的主管人员和其他直接责任人员处0.7万元以上1万元以下的罚款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76</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未按照规定辨识评估管控粉尘爆炸安全风险，未建立安全风险清单或者未及时维护相关信息档案的行为的处罚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粉尘防爆安全规定》第十一条：粉尘涉爆企业应当定期辨识粉尘云、点燃源等粉尘爆炸危险因素，确定粉尘爆炸危险场所的位置、范围，并根据粉尘爆炸特性和涉粉作业人数等关键要素，评估确定有关危险场所安全风险等级，制定并落实管控措施，明确责任部门和责任人员，建立安全风险清单，及时维护安全风险辨识、评估、管控过程的信息档案。</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粉尘涉爆企业应当在粉尘爆炸较大危险因素的工艺、场所、设施设备和岗位，设置安全警示标志。</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涉及粉尘爆炸危险的工艺、场所、设施设备等发生变更的，粉尘涉爆企业应当重新进行安全风险辨识评估。</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粉尘防爆安全规定》第三十条：粉尘涉爆企业有下列情形之一的，由负责粉尘涉爆企业安全监管的部门责令限期改正，处3万元以下的罚款，对其直接负责的主管人员和其他直接责任人员处1万元以下的罚款：（三）未按照规定辨识评估管控粉尘爆炸安全风险，未建立安全风险清单或者未及时维护相关信息档案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由负责粉尘涉爆企业安全监管的部门责令限期改正，处3万元以下的罚款，对其直接负责的主管人员和其他直接责任人员处1万元以下的罚款。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未及时维护安全风险辨识、评估、管控过程的信息档案的。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责令限期改正，处1万元以下的罚款，对其直接负责的主管人员和其他直接责任人员处0.3万元以下的罚款。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未建立健全安全风险清单的。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责令限期改正，处1万元以上2万元以下的罚款，对其直接负责的主管人员和其他直接责任人员处0.3万元以上0.7万元以下的罚款。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243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未评估确定有关危险场所安全风险等级，制定并落实管控措施，明确责任部门和责任人员或者涉及粉尘爆炸危险的工艺、场所、设施设备等发生变更未重新进行安全风险辨识评估的。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责令限期改正，处2万元以上3万元以下的罚款，对其直接负责的主管人员和其他直接责任人员处0.7万元以上1万元以下的罚款。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77</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粉尘防爆安全设备未正常运行的行为的处罚</w:t>
            </w:r>
          </w:p>
        </w:tc>
        <w:tc>
          <w:tcPr>
            <w:tcW w:w="25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粉尘防爆安全规定》第十七条：粉尘防爆相关的泄爆、隔爆、抑爆、惰化、锁气卸灰、除杂、监测、报警、火花探测消除等安全设备的设计、制造、安装、使用、检测、维修、改造和报废，应当符合《粉尘防爆安全规程》等有关国家标准或者行业标准，相关设计、制造、安装单位应当提供相关设备安全性能和使用说明等资料，对安全设备的安全性能负责。</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粉尘涉爆企业应当对粉尘防爆安全设备进行经常性维护、保养，并按照《粉尘防爆安全规程》等有关国家标准或者行业标准定期检测或者检查，保证正常运行，做好相关记录，不得关闭、破坏直接关系粉尘防爆安全的监控、报警、防控等设备、设施，或者篡改、隐瞒、销毁其相关数据、信息。粉尘涉爆企业应当规范选用与爆炸危险区域相适应的防爆型电气设备。</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工贸企业粉尘防爆安全规定》第三十条：粉尘涉爆企业有下列情形之一的，由负责粉尘涉爆企业安全监管的部门责令限期改正，处3万元以下的罚款，对其直接负责的主管人员和其他直接责任人员处1万元以下的罚款：（四）粉尘防爆安全设备未正常运行的；</w:t>
            </w:r>
          </w:p>
        </w:tc>
        <w:tc>
          <w:tcPr>
            <w:tcW w:w="73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由负责粉尘涉爆企业安全监管的部门责令限期改正，处3万元以下的罚款，对其直接负责的主管人员和其他直接责任人员处1万元以下的罚款。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粉尘防爆安全设备有1台（套）未正常运行的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责令限期改正，处1万元以下的罚款，对其直接负责的主管人员和其他直接责任人员处0.3万元以下的罚款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粉尘防爆安全设备有2台（套）未正常运行的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责令限期改正，处1万元以上2万元以下的罚款，对其直接负责的主管人员和其他直接责任人员处0.3万元以上0.7万元以下的罚款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162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粉尘防爆安全设备有3台（套）或以上未正常运行的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责令限期改正，处2万元以上3万元以下的罚款，对其直接负责的主管人员和其他直接责任人员处0.7万元以上1万元以下的罚款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405" w:hRule="atLeast"/>
        </w:trPr>
        <w:tc>
          <w:tcPr>
            <w:tcW w:w="5000" w:type="pct"/>
            <w:gridSpan w:val="10"/>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b/>
                <w:bCs/>
                <w:kern w:val="0"/>
                <w:sz w:val="28"/>
                <w:szCs w:val="28"/>
              </w:rPr>
              <w:t>安全评价检测检验类</w:t>
            </w:r>
          </w:p>
        </w:tc>
      </w:tr>
      <w:tr>
        <w:tblPrEx>
          <w:tblCellMar>
            <w:top w:w="0" w:type="dxa"/>
            <w:left w:w="108" w:type="dxa"/>
            <w:bottom w:w="0" w:type="dxa"/>
            <w:right w:w="108" w:type="dxa"/>
          </w:tblCellMar>
        </w:tblPrEx>
        <w:trPr>
          <w:trHeight w:val="405" w:hRule="atLeast"/>
        </w:trPr>
        <w:tc>
          <w:tcPr>
            <w:tcW w:w="153"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序号</w:t>
            </w:r>
          </w:p>
        </w:tc>
        <w:tc>
          <w:tcPr>
            <w:tcW w:w="37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违法行为</w:t>
            </w:r>
          </w:p>
        </w:tc>
        <w:tc>
          <w:tcPr>
            <w:tcW w:w="25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基本编码</w:t>
            </w:r>
          </w:p>
        </w:tc>
        <w:tc>
          <w:tcPr>
            <w:tcW w:w="826"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法律规定</w:t>
            </w:r>
          </w:p>
        </w:tc>
        <w:tc>
          <w:tcPr>
            <w:tcW w:w="930"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处罚依据</w:t>
            </w:r>
          </w:p>
        </w:tc>
        <w:tc>
          <w:tcPr>
            <w:tcW w:w="736"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处罚种类及幅度</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违法程度</w:t>
            </w:r>
          </w:p>
        </w:tc>
        <w:tc>
          <w:tcPr>
            <w:tcW w:w="468" w:type="pct"/>
            <w:tcBorders>
              <w:top w:val="nil"/>
              <w:left w:val="nil"/>
              <w:bottom w:val="single" w:color="auto" w:sz="4"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处罚裁量情节</w:t>
            </w:r>
          </w:p>
        </w:tc>
        <w:tc>
          <w:tcPr>
            <w:tcW w:w="649"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处罚裁量标准</w:t>
            </w:r>
          </w:p>
        </w:tc>
        <w:tc>
          <w:tcPr>
            <w:tcW w:w="31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实施主体</w:t>
            </w:r>
          </w:p>
        </w:tc>
      </w:tr>
      <w:tr>
        <w:tblPrEx>
          <w:tblCellMar>
            <w:top w:w="0" w:type="dxa"/>
            <w:left w:w="108" w:type="dxa"/>
            <w:bottom w:w="0" w:type="dxa"/>
            <w:right w:w="108" w:type="dxa"/>
          </w:tblCellMar>
        </w:tblPrEx>
        <w:trPr>
          <w:trHeight w:val="3984"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78</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未按规定公开安全评价报告、安全生产检测检验报告相关信息及现场勘验图像影像资料的行为的处罚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《安全评价检测检验机构管理办法》第十八条第二款：安全评价检测检验机构应当按照有关规定在网上公开安全评价报告、安全生产检测检验报告相关信息及现场勘验图像影像。</w:t>
            </w:r>
          </w:p>
        </w:tc>
        <w:tc>
          <w:tcPr>
            <w:tcW w:w="930"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（三）未按规定公开安全评价报告、安全生产检测检验报告相关信息及现场勘验图像影像资料的；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未按规定公开1-3份安全评价报告、安全生产检测检验报告相关信息及现场勘验图像影像资料的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给予警告，可以并处0.3万元以下的罚款；逾期未改正的，处1万元以上2万元以下的罚款，对相关责任人处0.1万元以上0.3万元以下的罚款；情节严重的，处1万元以上2万元以下的罚款，对相关责任人处0.5万元以上0.7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324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未按规定公开4-6份安全评价报告、安全生产检测检验报告相关信息及现场勘验图像影像资料的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给予警告，并处0.3万元以上0.7万元以下的罚款；逾期未改正的，处2万元以上2.5万元以下的罚款，对相关责任人处0.3万元以上0.4万元以下的罚款；情节严重的，处2万元以上2.5万元以下的罚款，对相关责任人处0.7万元以上0.9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240"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未按规定公开7份或以上安全评价报告、安全生产检测检验报告相关信息及现场勘验图像影像资料的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给予警告，并处0.7万元以上1万元以下的罚款；逾期未改正的，处2.5万元以上3万元以下的罚款，对相关责任人处0.4万元以上0.5万元以下的罚款；情节严重的，处2.5万元以上3万元以下的罚款，对相关责任人处0.9万元以上1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240" w:hRule="atLeast"/>
        </w:trPr>
        <w:tc>
          <w:tcPr>
            <w:tcW w:w="153"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79</w:t>
            </w:r>
          </w:p>
        </w:tc>
        <w:tc>
          <w:tcPr>
            <w:tcW w:w="379"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安全评价报告存在法规标准引用错误、关键危险有害因素漏项、重大危险源辨识错误、对策措施建议与存在问题严重不符等重大疏漏，但尚未造成重大损失的行为的处罚</w:t>
            </w:r>
          </w:p>
        </w:tc>
        <w:tc>
          <w:tcPr>
            <w:tcW w:w="259"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　</w:t>
            </w:r>
          </w:p>
        </w:tc>
        <w:tc>
          <w:tcPr>
            <w:tcW w:w="826"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《安全评价检测检验机构管理办法》第二十二条第一款：安全评价检测检验机构及其从业人员不得有下列行为：第二十二条 安全评价检测检验机构及其从业人员不得有下列行为：</w:t>
            </w:r>
            <w:r>
              <w:rPr>
                <w:rFonts w:hint="eastAsia" w:ascii="仿宋_GB2312" w:hAnsi="宋体" w:eastAsia="仿宋_GB2312" w:cs="宋体"/>
                <w:kern w:val="0"/>
                <w:sz w:val="24"/>
                <w:szCs w:val="24"/>
              </w:rPr>
              <w:br w:type="textWrapping"/>
            </w:r>
            <w:r>
              <w:rPr>
                <w:rFonts w:hint="eastAsia" w:ascii="仿宋_GB2312" w:hAnsi="宋体" w:eastAsia="仿宋_GB2312" w:cs="宋体"/>
                <w:kern w:val="0"/>
                <w:sz w:val="24"/>
                <w:szCs w:val="24"/>
              </w:rPr>
              <w:t>（五）出具虚假或者重大疏漏的安全评价、检测检验报告的；</w:t>
            </w:r>
          </w:p>
        </w:tc>
        <w:tc>
          <w:tcPr>
            <w:tcW w:w="93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十）安全评价报告存在法规标准引用错误、关键危险有害因素漏项、重大危险源辨识错误、对策措施建议与存在问题严重不符等重大疏漏，但尚未造成重大损失的；</w:t>
            </w:r>
          </w:p>
        </w:tc>
        <w:tc>
          <w:tcPr>
            <w:tcW w:w="736"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情节较轻</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存在1处法规标准引用错误、关键危险有害因素漏项、重大危险源辨识错误、对策措施建议与存在问题严重不符等重大疏漏，但尚未造成重大损失的。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给予警告，可以并处0.3万元以下的罚款；逾期未改正的，处1万元以上2万元以下的罚款，对相关责任人处0.1万元以上0.3万元以下的罚款；情节严重的，处1万元以上2万元以下的罚款，对相关责任人处0.5万元以上0.7万元以下的罚款。</w:t>
            </w:r>
          </w:p>
        </w:tc>
        <w:tc>
          <w:tcPr>
            <w:tcW w:w="317" w:type="pct"/>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江门市、县应急管理局</w:t>
            </w:r>
          </w:p>
        </w:tc>
      </w:tr>
      <w:tr>
        <w:tblPrEx>
          <w:tblCellMar>
            <w:top w:w="0" w:type="dxa"/>
            <w:left w:w="108" w:type="dxa"/>
            <w:bottom w:w="0" w:type="dxa"/>
            <w:right w:w="108" w:type="dxa"/>
          </w:tblCellMar>
        </w:tblPrEx>
        <w:trPr>
          <w:trHeight w:val="397"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情节一般</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存在2-4处法规标准引用错误、关键危险有害因素漏项、重大危险源辨识错误、对策措施建议与存在问题严重不符等重大疏漏，但尚未造成重大损失的。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给予警告，并处0.3万元以上0.7万元以下的罚款；逾期未改正的，处2万元以上2.5万元以下的罚款，对相关责任人处0.3万元以上0.4万元以下的罚款；情节严重的，处2万元以上2.5万元以下的罚款，对相关责任人处0.7万元以上0.9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r>
        <w:tblPrEx>
          <w:tblCellMar>
            <w:top w:w="0" w:type="dxa"/>
            <w:left w:w="108" w:type="dxa"/>
            <w:bottom w:w="0" w:type="dxa"/>
            <w:right w:w="108" w:type="dxa"/>
          </w:tblCellMar>
        </w:tblPrEx>
        <w:trPr>
          <w:trHeight w:val="3072" w:hRule="atLeast"/>
        </w:trPr>
        <w:tc>
          <w:tcPr>
            <w:tcW w:w="153"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379"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59"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826"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930"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736"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c>
          <w:tcPr>
            <w:tcW w:w="277"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情节严重</w:t>
            </w:r>
          </w:p>
        </w:tc>
        <w:tc>
          <w:tcPr>
            <w:tcW w:w="468"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存在5处或以上法规标准引用错误、关键危险有害因素漏项、重大危险源辨识错误、对策措施建议与存在问题严重不符等重大疏漏，但尚未造成重大损失的。</w:t>
            </w:r>
          </w:p>
        </w:tc>
        <w:tc>
          <w:tcPr>
            <w:tcW w:w="649"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r>
              <w:rPr>
                <w:rFonts w:hint="eastAsia" w:ascii="仿宋_GB2312" w:hAnsi="宋体" w:eastAsia="仿宋_GB2312" w:cs="宋体"/>
                <w:kern w:val="0"/>
                <w:sz w:val="24"/>
                <w:szCs w:val="24"/>
              </w:rPr>
              <w:t>责令限期改正，给予警告，并处0.7万元以上1万元以下的罚款；逾期未改正的，处2.5万以上3万元以下的罚款，对相关责任人处0.4万元以上0.5万元以下的罚款；情节严重的，处2.5万元以上3万以下的罚款，对相关责任人处0.9万元以上1万元以下的罚款。</w:t>
            </w:r>
          </w:p>
        </w:tc>
        <w:tc>
          <w:tcPr>
            <w:tcW w:w="317" w:type="pct"/>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hAnsi="宋体" w:eastAsia="仿宋_GB2312" w:cs="宋体"/>
                <w:kern w:val="0"/>
                <w:sz w:val="24"/>
                <w:szCs w:val="24"/>
              </w:rPr>
            </w:pPr>
          </w:p>
        </w:tc>
      </w:tr>
    </w:tbl>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CESI黑体-GB13000" w:hAnsi="宋体" w:eastAsia="CESI黑体-GB13000" w:cs="宋体"/>
          <w:kern w:val="0"/>
          <w:sz w:val="24"/>
          <w:szCs w:val="24"/>
        </w:rPr>
        <w:sectPr>
          <w:footerReference r:id="rId4" w:type="default"/>
          <w:pgSz w:w="23811" w:h="16838" w:orient="landscape"/>
          <w:pgMar w:top="1020" w:right="2835" w:bottom="1020" w:left="227" w:header="851" w:footer="992" w:gutter="0"/>
          <w:pgNumType w:fmt="decimal" w:start="1"/>
          <w:cols w:space="0" w:num="1"/>
          <w:rtlGutter w:val="0"/>
          <w:docGrid w:type="lines" w:linePitch="315" w:charSpace="0"/>
        </w:sectPr>
      </w:pP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570" w:lineRule="exact"/>
        <w:ind w:right="0"/>
        <w:jc w:val="both"/>
        <w:textAlignment w:val="auto"/>
        <w:rPr>
          <w:rFonts w:hint="eastAsia" w:ascii="仿宋_GB2312" w:hAnsi="仿宋_GB2312" w:eastAsia="仿宋_GB2312" w:cs="仿宋_GB2312"/>
          <w:color w:val="000000"/>
          <w:sz w:val="32"/>
          <w:szCs w:val="32"/>
        </w:rPr>
      </w:pPr>
    </w:p>
    <w:sectPr>
      <w:footerReference r:id="rId5" w:type="default"/>
      <w:pgSz w:w="23811" w:h="16838" w:orient="landscape"/>
      <w:pgMar w:top="1587" w:right="1984" w:bottom="1474" w:left="1871" w:header="720" w:footer="720" w:gutter="0"/>
      <w:pgNumType w:fmt="decimal"/>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Liberation Sans">
    <w:altName w:val="微软雅黑"/>
    <w:panose1 w:val="00000000000000000000"/>
    <w:charset w:val="00"/>
    <w:family w:val="swiss"/>
    <w:pitch w:val="default"/>
    <w:sig w:usb0="00000000" w:usb1="00000000" w:usb2="00000000" w:usb3="00000000" w:csb0="00040001" w:csb1="00000000"/>
  </w:font>
  <w:font w:name="Noto Sans CJK SC Regular">
    <w:altName w:val="Noto Sans CJK HK"/>
    <w:panose1 w:val="020B0500000000000000"/>
    <w:charset w:val="86"/>
    <w:family w:val="auto"/>
    <w:pitch w:val="default"/>
    <w:sig w:usb0="00000000" w:usb1="00000000" w:usb2="00000016" w:usb3="00000000" w:csb0="602E0107"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仿宋">
    <w:altName w:val="微软雅黑"/>
    <w:panose1 w:val="02010609060101010101"/>
    <w:charset w:val="86"/>
    <w:family w:val="modern"/>
    <w:pitch w:val="default"/>
    <w:sig w:usb0="00000000" w:usb1="00000000" w:usb2="00000016" w:usb3="00000000" w:csb0="00040001" w:csb1="00000000"/>
  </w:font>
  <w:font w:name="CESI黑体-GB13000">
    <w:panose1 w:val="02000500000000000000"/>
    <w:charset w:val="86"/>
    <w:family w:val="roman"/>
    <w:pitch w:val="default"/>
    <w:sig w:usb0="800002BF" w:usb1="38CF7CF8" w:usb2="00000016" w:usb3="00000000" w:csb0="0004000F" w:csb1="00000000"/>
  </w:font>
  <w:font w:name="DejaVu Sans">
    <w:panose1 w:val="020B0603030804020204"/>
    <w:charset w:val="00"/>
    <w:family w:val="auto"/>
    <w:pitch w:val="default"/>
    <w:sig w:usb0="E7006EFF" w:usb1="D200FDFF" w:usb2="0A246029" w:usb3="0400200C" w:csb0="600001FF" w:csb1="DFFF0000"/>
  </w:font>
  <w:font w:name="微软雅黑">
    <w:panose1 w:val="020B0503020204020204"/>
    <w:charset w:val="86"/>
    <w:family w:val="auto"/>
    <w:pitch w:val="default"/>
    <w:sig w:usb0="80000287" w:usb1="280F3C52" w:usb2="00000016" w:usb3="00000000" w:csb0="0004001F" w:csb1="00000000"/>
  </w:font>
  <w:font w:name="方正黑体_GBK">
    <w:panose1 w:val="03000509000000000000"/>
    <w:charset w:val="86"/>
    <w:family w:val="auto"/>
    <w:pitch w:val="default"/>
    <w:sig w:usb0="00000001" w:usb1="080E0000" w:usb2="00000000" w:usb3="00000000" w:csb0="00040000"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w:pict>
        <v:shape id="_x0000_s4100" o:spid="_x0000_s410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w:pict>
        <v:shape id="_x0000_s4099" o:spid="_x0000_s409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w:pict>
        <v:shape id="_x0000_s4101" o:spid="_x0000_s4101"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5"/>
                </w:pPr>
                <w:r>
                  <w:fldChar w:fldCharType="begin"/>
                </w:r>
                <w:r>
                  <w:instrText xml:space="preserve"> PAGE  \* MERGEFORMAT </w:instrText>
                </w:r>
                <w:r>
                  <w:fldChar w:fldCharType="separate"/>
                </w:r>
                <w:r>
                  <w:t>51</w:t>
                </w:r>
                <w:r>
                  <w:fldChar w:fldCharType="end"/>
                </w:r>
              </w:p>
            </w:txbxContent>
          </v:textbox>
        </v:shape>
      </w:pict>
    </w: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5"/>
                  <w:rPr>
                    <w:rFonts w:ascii="Times New Roman" w:hAnsi="Times New Roman"/>
                    <w:sz w:val="28"/>
                    <w:szCs w:val="28"/>
                  </w:rPr>
                </w:pP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
  <w:drawingGridVerticalSpacing w:val="158"/>
  <w:displayHorizontalDrawingGridEvery w:val="1"/>
  <w:displayVerticalDrawingGridEvery w:val="2"/>
  <w:doNotUseMarginsForDrawingGridOrigin w:val="1"/>
  <w:drawingGridHorizontalOrigin w:val="0"/>
  <w:drawingGridVerticalOrigin w:val="0"/>
  <w:noPunctuationKerning w:val="1"/>
  <w:characterSpacingControl w:val="compressPunctuation"/>
  <w:doNotValidateAgainstSchema/>
  <w:doNotDemarcateInvalidXml/>
  <w:hdrShapeDefaults>
    <o:shapelayout v:ext="edit">
      <o:idmap v:ext="edit" data="3,4"/>
    </o:shapelayout>
  </w:hdrShapeDefaults>
  <w:compat>
    <w:noLeading/>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1F785FAD"/>
    <w:rsid w:val="376F41A8"/>
    <w:rsid w:val="3EF905B6"/>
    <w:rsid w:val="3FEF20BB"/>
    <w:rsid w:val="3FEF7115"/>
    <w:rsid w:val="5AFF4837"/>
    <w:rsid w:val="5BEF1CC3"/>
    <w:rsid w:val="5CEB0857"/>
    <w:rsid w:val="5FB7E2A3"/>
    <w:rsid w:val="6FF7ED94"/>
    <w:rsid w:val="7FF64045"/>
    <w:rsid w:val="8FFB1657"/>
    <w:rsid w:val="A6FB3A0D"/>
    <w:rsid w:val="BDE66002"/>
    <w:rsid w:val="FEFFB8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character" w:default="1" w:styleId="10">
    <w:name w:val="Default Paragraph Font"/>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style>
  <w:style w:type="paragraph" w:styleId="3">
    <w:name w:val="caption"/>
    <w:basedOn w:val="1"/>
    <w:next w:val="1"/>
    <w:qFormat/>
    <w:uiPriority w:val="0"/>
    <w:pPr>
      <w:widowControl w:val="0"/>
      <w:suppressLineNumbers/>
      <w:suppressAutoHyphens/>
      <w:spacing w:before="120" w:after="120"/>
    </w:pPr>
    <w:rPr>
      <w:i/>
      <w:iCs/>
      <w:sz w:val="24"/>
      <w:szCs w:val="24"/>
    </w:rPr>
  </w:style>
  <w:style w:type="paragraph" w:styleId="4">
    <w:name w:val="Body Text"/>
    <w:basedOn w:val="1"/>
    <w:qFormat/>
    <w:uiPriority w:val="0"/>
    <w:pPr>
      <w:spacing w:before="0" w:after="140" w:line="276" w:lineRule="auto"/>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List"/>
    <w:basedOn w:val="4"/>
    <w:qFormat/>
    <w:uiPriority w:val="0"/>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11">
    <w:name w:val="默认段落字体1"/>
    <w:qFormat/>
    <w:uiPriority w:val="0"/>
  </w:style>
  <w:style w:type="paragraph" w:customStyle="1" w:styleId="12">
    <w:name w:val="Heading"/>
    <w:basedOn w:val="1"/>
    <w:next w:val="4"/>
    <w:qFormat/>
    <w:uiPriority w:val="0"/>
    <w:pPr>
      <w:keepNext/>
      <w:widowControl w:val="0"/>
      <w:suppressAutoHyphens/>
      <w:spacing w:before="240" w:after="120"/>
    </w:pPr>
    <w:rPr>
      <w:rFonts w:ascii="Liberation Sans" w:hAnsi="Liberation Sans" w:eastAsia="Noto Sans CJK SC Regular" w:cs="Noto Sans CJK SC Regular"/>
      <w:sz w:val="28"/>
      <w:szCs w:val="28"/>
      <w:lang w:bidi="ar-SA"/>
    </w:rPr>
  </w:style>
  <w:style w:type="paragraph" w:customStyle="1" w:styleId="13">
    <w:name w:val="Index"/>
    <w:basedOn w:val="1"/>
    <w:qFormat/>
    <w:uiPriority w:val="0"/>
    <w:pPr>
      <w:widowControl w:val="0"/>
      <w:suppressLineNumbers/>
      <w:suppressAutoHyphens/>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100" textRotate="1"/>
    <customShpInfo spid="_x0000_s4099" textRotate="1"/>
    <customShpInfo spid="_x0000_s4101" textRotate="1"/>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217</Words>
  <Characters>250</Characters>
  <TotalTime>1</TotalTime>
  <ScaleCrop>false</ScaleCrop>
  <LinksUpToDate>false</LinksUpToDate>
  <CharactersWithSpaces>326</CharactersWithSpaces>
  <Application>WPS Office_11.8.2.10912_F1E327BC-269C-435d-A152-05C5408002CA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2018-11-30T09:47:00Z</dcterms:created>
  <dc:creator>greatwall</dc:creator>
  <cp:lastModifiedBy>greaterwall</cp:lastModifiedBy>
  <dcterms:modified xsi:type="dcterms:W3CDTF">2025-01-23T18:34:55Z</dcterms:modified>
  <dc:title>江应急〔2024〕125号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ies>
</file>