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BAB" w:rsidRPr="00497BAB" w:rsidRDefault="00497BAB" w:rsidP="00497BAB">
      <w:pPr>
        <w:spacing w:line="400" w:lineRule="exact"/>
        <w:jc w:val="center"/>
        <w:rPr>
          <w:rFonts w:ascii="方正小标宋简体" w:eastAsia="方正小标宋简体" w:hAnsi="方正小标宋简体" w:cs="方正小标宋简体" w:hint="eastAsia"/>
          <w:sz w:val="32"/>
          <w:szCs w:val="32"/>
        </w:rPr>
      </w:pPr>
      <w:r w:rsidRPr="00497BAB">
        <w:rPr>
          <w:rFonts w:ascii="方正小标宋简体" w:eastAsia="方正小标宋简体" w:hAnsi="方正小标宋简体" w:cs="方正小标宋简体" w:hint="eastAsia"/>
          <w:sz w:val="32"/>
          <w:szCs w:val="32"/>
        </w:rPr>
        <w:t>危险废物利用及处置</w:t>
      </w:r>
      <w:proofErr w:type="gramStart"/>
      <w:r w:rsidRPr="00497BAB">
        <w:rPr>
          <w:rFonts w:ascii="方正小标宋简体" w:eastAsia="方正小标宋简体" w:hAnsi="方正小标宋简体" w:cs="方正小标宋简体" w:hint="eastAsia"/>
          <w:sz w:val="32"/>
          <w:szCs w:val="32"/>
        </w:rPr>
        <w:t>项目环评文件</w:t>
      </w:r>
      <w:proofErr w:type="gramEnd"/>
      <w:r w:rsidRPr="00497BAB">
        <w:rPr>
          <w:rFonts w:ascii="方正小标宋简体" w:eastAsia="方正小标宋简体" w:hAnsi="方正小标宋简体" w:cs="方正小标宋简体" w:hint="eastAsia"/>
          <w:sz w:val="32"/>
          <w:szCs w:val="32"/>
        </w:rPr>
        <w:t>审查要点</w:t>
      </w:r>
    </w:p>
    <w:p w:rsidR="00497BAB" w:rsidRPr="00497BAB" w:rsidRDefault="00497BAB" w:rsidP="00497BAB">
      <w:pPr>
        <w:spacing w:line="400" w:lineRule="exact"/>
        <w:ind w:firstLineChars="200" w:firstLine="432"/>
        <w:jc w:val="center"/>
        <w:rPr>
          <w:rFonts w:ascii="仿宋_GB2312" w:eastAsia="仿宋_GB2312" w:hint="eastAsia"/>
          <w:sz w:val="22"/>
        </w:rPr>
      </w:pPr>
      <w:bookmarkStart w:id="0" w:name="_GoBack"/>
      <w:r w:rsidRPr="00497BAB">
        <w:rPr>
          <w:rFonts w:ascii="仿宋_GB2312" w:eastAsia="仿宋_GB2312" w:hint="eastAsia"/>
          <w:sz w:val="22"/>
        </w:rPr>
        <w:t>（</w:t>
      </w:r>
      <w:proofErr w:type="gramStart"/>
      <w:r w:rsidRPr="00497BAB">
        <w:rPr>
          <w:rFonts w:ascii="仿宋_GB2312" w:eastAsia="仿宋_GB2312" w:hint="eastAsia"/>
          <w:sz w:val="22"/>
        </w:rPr>
        <w:t>粤环函</w:t>
      </w:r>
      <w:proofErr w:type="gramEnd"/>
      <w:r w:rsidRPr="00497BAB">
        <w:rPr>
          <w:rFonts w:ascii="仿宋_GB2312" w:eastAsia="仿宋_GB2312" w:hint="eastAsia"/>
          <w:sz w:val="22"/>
        </w:rPr>
        <w:t>〔2019〕1133号</w:t>
      </w:r>
      <w:r w:rsidRPr="00497BAB">
        <w:rPr>
          <w:rFonts w:ascii="仿宋_GB2312" w:eastAsia="仿宋_GB2312" w:hint="eastAsia"/>
          <w:sz w:val="22"/>
        </w:rPr>
        <w:t>）</w:t>
      </w:r>
    </w:p>
    <w:bookmarkEnd w:id="0"/>
    <w:p w:rsidR="00497BAB" w:rsidRPr="00497BAB" w:rsidRDefault="00497BAB" w:rsidP="00497BAB">
      <w:pPr>
        <w:spacing w:line="400" w:lineRule="exact"/>
      </w:pPr>
    </w:p>
    <w:p w:rsidR="00497BAB" w:rsidRPr="00497BAB" w:rsidRDefault="00497BAB" w:rsidP="00497BAB">
      <w:pPr>
        <w:spacing w:line="400" w:lineRule="exact"/>
        <w:ind w:firstLineChars="200" w:firstLine="532"/>
        <w:rPr>
          <w:rFonts w:ascii="黑体" w:eastAsia="黑体" w:hAnsi="黑体" w:cs="黑体" w:hint="eastAsia"/>
          <w:sz w:val="27"/>
          <w:szCs w:val="27"/>
        </w:rPr>
      </w:pPr>
      <w:r w:rsidRPr="00497BAB">
        <w:rPr>
          <w:rFonts w:ascii="黑体" w:eastAsia="黑体" w:hAnsi="黑体" w:cs="黑体" w:hint="eastAsia"/>
          <w:sz w:val="27"/>
          <w:szCs w:val="27"/>
        </w:rPr>
        <w:t>一、 厂址选择</w:t>
      </w:r>
    </w:p>
    <w:p w:rsidR="00497BAB" w:rsidRPr="00497BAB" w:rsidRDefault="00497BAB" w:rsidP="00497BAB">
      <w:pPr>
        <w:spacing w:line="400" w:lineRule="exact"/>
        <w:ind w:firstLineChars="200" w:firstLine="532"/>
        <w:rPr>
          <w:rFonts w:ascii="仿宋_GB2312" w:eastAsia="仿宋_GB2312" w:hint="eastAsia"/>
          <w:sz w:val="27"/>
          <w:szCs w:val="27"/>
        </w:rPr>
      </w:pPr>
      <w:r w:rsidRPr="00497BAB">
        <w:rPr>
          <w:rFonts w:ascii="仿宋_GB2312" w:eastAsia="仿宋_GB2312" w:hint="eastAsia"/>
          <w:sz w:val="27"/>
          <w:szCs w:val="27"/>
        </w:rPr>
        <w:t>（一）应当符合《固体废物污染环境防治法》《水污染防治法》《广东省环境保护条例》《广东省饮用水源水质保护条例》《广东省固体废物污染环境防治条例》和东江、西江、韩江等流域水质保护条例等法律法规的相关规定。</w:t>
      </w:r>
    </w:p>
    <w:p w:rsidR="00497BAB" w:rsidRPr="00497BAB" w:rsidRDefault="00497BAB" w:rsidP="00497BAB">
      <w:pPr>
        <w:spacing w:line="400" w:lineRule="exact"/>
        <w:ind w:firstLineChars="200" w:firstLine="532"/>
        <w:rPr>
          <w:rFonts w:ascii="仿宋_GB2312" w:eastAsia="仿宋_GB2312" w:hint="eastAsia"/>
          <w:sz w:val="27"/>
          <w:szCs w:val="27"/>
        </w:rPr>
      </w:pPr>
      <w:r w:rsidRPr="00497BAB">
        <w:rPr>
          <w:rFonts w:ascii="仿宋_GB2312" w:eastAsia="仿宋_GB2312" w:hint="eastAsia"/>
          <w:sz w:val="27"/>
          <w:szCs w:val="27"/>
        </w:rPr>
        <w:t>（二）应当符合生态保护红线、主体功能区规划、土地利用规划、生态环境保护规划、环境功能区划及其他相关规划等要求，不占用自然保护区、风景名胜区、饮用水水源保护区和永久基本农田等法律法规明令禁止建设的区域。</w:t>
      </w:r>
    </w:p>
    <w:p w:rsidR="00497BAB" w:rsidRPr="00497BAB" w:rsidRDefault="00497BAB" w:rsidP="00497BAB">
      <w:pPr>
        <w:spacing w:line="400" w:lineRule="exact"/>
        <w:ind w:firstLineChars="200" w:firstLine="532"/>
        <w:rPr>
          <w:rFonts w:ascii="仿宋_GB2312" w:eastAsia="仿宋_GB2312" w:hint="eastAsia"/>
          <w:sz w:val="27"/>
          <w:szCs w:val="27"/>
        </w:rPr>
      </w:pPr>
      <w:r w:rsidRPr="00497BAB">
        <w:rPr>
          <w:rFonts w:ascii="仿宋_GB2312" w:eastAsia="仿宋_GB2312" w:hint="eastAsia"/>
          <w:sz w:val="27"/>
          <w:szCs w:val="27"/>
        </w:rPr>
        <w:t>（三）应当结合采用的工艺，满足《危险废物焚烧污染控制标准》（GB18484）、《危险废物填埋污染控制标准》（GB18598）、《危险废物贮存污染控制标准》（GB18597）、《水泥窑协同处置固体废物污染控制标准》（GB 30485）等相关生态环境保护标准，以及地方生态环境管理政策有关的选址要求。</w:t>
      </w:r>
    </w:p>
    <w:p w:rsidR="00497BAB" w:rsidRPr="00497BAB" w:rsidRDefault="00497BAB" w:rsidP="00497BAB">
      <w:pPr>
        <w:spacing w:line="400" w:lineRule="exact"/>
        <w:ind w:firstLineChars="200" w:firstLine="532"/>
        <w:rPr>
          <w:rFonts w:ascii="仿宋_GB2312" w:eastAsia="仿宋_GB2312" w:hint="eastAsia"/>
          <w:sz w:val="27"/>
          <w:szCs w:val="27"/>
        </w:rPr>
      </w:pPr>
      <w:r w:rsidRPr="00497BAB">
        <w:rPr>
          <w:rFonts w:ascii="仿宋_GB2312" w:eastAsia="仿宋_GB2312" w:hint="eastAsia"/>
          <w:sz w:val="27"/>
          <w:szCs w:val="27"/>
        </w:rPr>
        <w:t>（四）应当与学校、医院、集中居住区等环境敏感点保持适当的环境防护距离。</w:t>
      </w:r>
    </w:p>
    <w:p w:rsidR="00497BAB" w:rsidRPr="00497BAB" w:rsidRDefault="00497BAB" w:rsidP="00497BAB">
      <w:pPr>
        <w:spacing w:line="400" w:lineRule="exact"/>
        <w:ind w:firstLineChars="200" w:firstLine="532"/>
        <w:rPr>
          <w:rFonts w:ascii="黑体" w:eastAsia="黑体" w:hAnsi="黑体" w:cs="黑体" w:hint="eastAsia"/>
          <w:sz w:val="27"/>
          <w:szCs w:val="27"/>
        </w:rPr>
      </w:pPr>
      <w:r w:rsidRPr="00497BAB">
        <w:rPr>
          <w:rFonts w:ascii="黑体" w:eastAsia="黑体" w:hAnsi="黑体" w:cs="黑体" w:hint="eastAsia"/>
          <w:sz w:val="27"/>
          <w:szCs w:val="27"/>
        </w:rPr>
        <w:t>二、污染防治</w:t>
      </w:r>
    </w:p>
    <w:p w:rsidR="00497BAB" w:rsidRPr="00497BAB" w:rsidRDefault="00497BAB" w:rsidP="00497BAB">
      <w:pPr>
        <w:spacing w:line="400" w:lineRule="exact"/>
        <w:ind w:firstLineChars="200" w:firstLine="532"/>
        <w:rPr>
          <w:rFonts w:ascii="仿宋_GB2312" w:eastAsia="仿宋_GB2312" w:hint="eastAsia"/>
          <w:sz w:val="27"/>
          <w:szCs w:val="27"/>
        </w:rPr>
      </w:pPr>
      <w:r w:rsidRPr="00497BAB">
        <w:rPr>
          <w:rFonts w:ascii="仿宋_GB2312" w:eastAsia="仿宋_GB2312" w:hint="eastAsia"/>
          <w:sz w:val="27"/>
          <w:szCs w:val="27"/>
        </w:rPr>
        <w:t>（一）应以减量化、资源化、无害化为目标，采用先进成熟、适用的技术、工艺、装备及污染防治措施，并具备相应的贮存能力、场地要求等。</w:t>
      </w:r>
    </w:p>
    <w:p w:rsidR="00497BAB" w:rsidRPr="00497BAB" w:rsidRDefault="00497BAB" w:rsidP="00497BAB">
      <w:pPr>
        <w:spacing w:line="400" w:lineRule="exact"/>
        <w:ind w:firstLineChars="200" w:firstLine="532"/>
        <w:rPr>
          <w:rFonts w:ascii="仿宋_GB2312" w:eastAsia="仿宋_GB2312" w:hint="eastAsia"/>
          <w:sz w:val="27"/>
          <w:szCs w:val="27"/>
        </w:rPr>
      </w:pPr>
      <w:r w:rsidRPr="00497BAB">
        <w:rPr>
          <w:rFonts w:ascii="仿宋_GB2312" w:eastAsia="仿宋_GB2312" w:hint="eastAsia"/>
          <w:sz w:val="27"/>
          <w:szCs w:val="27"/>
        </w:rPr>
        <w:t>（二）危险废物运输、贮存、设施运行等应结合采用的工艺，满足《危险废物贮存污染控制标准》（GB18597）、《危险废物焚烧污染控制标准》（GB18484）、《危险废物填埋污染控制标准》（GB18598）、《水泥窑协同处置固体废物污染控制标准》（GB 30485）、《危险废物处置工程技术导则》（HJ2042）等相关生态环境保护标准的要求。</w:t>
      </w:r>
    </w:p>
    <w:p w:rsidR="00497BAB" w:rsidRPr="00497BAB" w:rsidRDefault="00497BAB" w:rsidP="00497BAB">
      <w:pPr>
        <w:spacing w:line="400" w:lineRule="exact"/>
        <w:ind w:firstLineChars="200" w:firstLine="532"/>
        <w:rPr>
          <w:rFonts w:ascii="仿宋_GB2312" w:eastAsia="仿宋_GB2312" w:hint="eastAsia"/>
          <w:sz w:val="27"/>
          <w:szCs w:val="27"/>
        </w:rPr>
      </w:pPr>
      <w:r w:rsidRPr="00497BAB">
        <w:rPr>
          <w:rFonts w:ascii="仿宋_GB2312" w:eastAsia="仿宋_GB2312" w:hint="eastAsia"/>
          <w:sz w:val="27"/>
          <w:szCs w:val="27"/>
        </w:rPr>
        <w:t>危险废物运输车辆应采取密闭措施，避免在运输过程中发生遗撒、气味泄漏和污水滴漏。应合</w:t>
      </w:r>
      <w:proofErr w:type="gramStart"/>
      <w:r w:rsidRPr="00497BAB">
        <w:rPr>
          <w:rFonts w:ascii="仿宋_GB2312" w:eastAsia="仿宋_GB2312" w:hint="eastAsia"/>
          <w:sz w:val="27"/>
          <w:szCs w:val="27"/>
        </w:rPr>
        <w:t>理规划</w:t>
      </w:r>
      <w:proofErr w:type="gramEnd"/>
      <w:r w:rsidRPr="00497BAB">
        <w:rPr>
          <w:rFonts w:ascii="仿宋_GB2312" w:eastAsia="仿宋_GB2312" w:hint="eastAsia"/>
          <w:sz w:val="27"/>
          <w:szCs w:val="27"/>
        </w:rPr>
        <w:t>危险废物运输路线，避免穿越饮用水源保护区等敏感区域。</w:t>
      </w:r>
    </w:p>
    <w:p w:rsidR="00497BAB" w:rsidRPr="00497BAB" w:rsidRDefault="00497BAB" w:rsidP="00497BAB">
      <w:pPr>
        <w:spacing w:line="400" w:lineRule="exact"/>
        <w:ind w:firstLineChars="200" w:firstLine="532"/>
        <w:rPr>
          <w:rFonts w:ascii="仿宋_GB2312" w:eastAsia="仿宋_GB2312" w:hint="eastAsia"/>
          <w:sz w:val="27"/>
          <w:szCs w:val="27"/>
        </w:rPr>
      </w:pPr>
      <w:r w:rsidRPr="00497BAB">
        <w:rPr>
          <w:rFonts w:ascii="仿宋_GB2312" w:eastAsia="仿宋_GB2312" w:hint="eastAsia"/>
          <w:sz w:val="27"/>
          <w:szCs w:val="27"/>
        </w:rPr>
        <w:t>（三）应结合采用的工艺技术，严格控制拟处理危险废物的来源、成分。按照《污染源源强核算技术指南 准则》（HJ884），结合污染防治措施的可行性，分析各类污染物的产生、排放情况。污染防治措施应从技术、经济方面均可行，其可行性判定优先以同类或相同措施的实际运行效果为依据，采用正常运行期间的有效监测资料。</w:t>
      </w:r>
    </w:p>
    <w:p w:rsidR="00497BAB" w:rsidRPr="00497BAB" w:rsidRDefault="00497BAB" w:rsidP="00497BAB">
      <w:pPr>
        <w:spacing w:line="400" w:lineRule="exact"/>
        <w:ind w:firstLineChars="200" w:firstLine="532"/>
        <w:rPr>
          <w:rFonts w:ascii="仿宋_GB2312" w:eastAsia="仿宋_GB2312" w:hint="eastAsia"/>
          <w:sz w:val="27"/>
          <w:szCs w:val="27"/>
        </w:rPr>
      </w:pPr>
      <w:r w:rsidRPr="00497BAB">
        <w:rPr>
          <w:rFonts w:ascii="仿宋_GB2312" w:eastAsia="仿宋_GB2312" w:hint="eastAsia"/>
          <w:sz w:val="27"/>
          <w:szCs w:val="27"/>
        </w:rPr>
        <w:t>（四）各类废气应有</w:t>
      </w:r>
      <w:proofErr w:type="gramStart"/>
      <w:r w:rsidRPr="00497BAB">
        <w:rPr>
          <w:rFonts w:ascii="仿宋_GB2312" w:eastAsia="仿宋_GB2312" w:hint="eastAsia"/>
          <w:sz w:val="27"/>
          <w:szCs w:val="27"/>
        </w:rPr>
        <w:t>效</w:t>
      </w:r>
      <w:proofErr w:type="gramEnd"/>
      <w:r w:rsidRPr="00497BAB">
        <w:rPr>
          <w:rFonts w:ascii="仿宋_GB2312" w:eastAsia="仿宋_GB2312" w:hint="eastAsia"/>
          <w:sz w:val="27"/>
          <w:szCs w:val="27"/>
        </w:rPr>
        <w:t>收集、处理。危险废物装卸、贮存和处理设施等应当尽可能采取密闭或负压措施，减少无组织排放。污染物排放、排气筒高度应结合采用的工艺，满足《危险废物焚烧污染控制标准》（GB18484）、《恶臭污染物排放标准》（GB14554）、《挥发性有机物无组织排放控制标准》（GB37822）、《水泥窑协同处置固体废物污染控制标准》（GB 30485）和广东省《大气污染物排放限值》（DB 44/27）等相关环境保护标准要求。采用复合型工艺项目的污染物排放应执行相应行业标准、综合排放标准的较严值。</w:t>
      </w:r>
    </w:p>
    <w:p w:rsidR="00497BAB" w:rsidRPr="00497BAB" w:rsidRDefault="00497BAB" w:rsidP="00497BAB">
      <w:pPr>
        <w:spacing w:line="400" w:lineRule="exact"/>
        <w:ind w:firstLineChars="200" w:firstLine="532"/>
        <w:rPr>
          <w:rFonts w:ascii="仿宋_GB2312" w:eastAsia="仿宋_GB2312" w:hint="eastAsia"/>
          <w:sz w:val="27"/>
          <w:szCs w:val="27"/>
        </w:rPr>
      </w:pPr>
      <w:r w:rsidRPr="00497BAB">
        <w:rPr>
          <w:rFonts w:ascii="仿宋_GB2312" w:eastAsia="仿宋_GB2312" w:hint="eastAsia"/>
          <w:sz w:val="27"/>
          <w:szCs w:val="27"/>
        </w:rPr>
        <w:lastRenderedPageBreak/>
        <w:t>应根据环境影响论证结果，设置一定的环境防护距离，若环境防护距离内存在环境敏感点，应提出调整项目选址、布局或搬迁敏感点的建议，并提出环境防护距离内禁止布局新建学校、医院、集中居住区等的规划控制要求。</w:t>
      </w:r>
    </w:p>
    <w:p w:rsidR="00497BAB" w:rsidRPr="00497BAB" w:rsidRDefault="00497BAB" w:rsidP="00497BAB">
      <w:pPr>
        <w:spacing w:line="400" w:lineRule="exact"/>
        <w:ind w:firstLineChars="200" w:firstLine="532"/>
        <w:rPr>
          <w:rFonts w:ascii="仿宋_GB2312" w:eastAsia="仿宋_GB2312" w:hint="eastAsia"/>
          <w:sz w:val="27"/>
          <w:szCs w:val="27"/>
        </w:rPr>
      </w:pPr>
      <w:r w:rsidRPr="00497BAB">
        <w:rPr>
          <w:rFonts w:ascii="仿宋_GB2312" w:eastAsia="仿宋_GB2312" w:hint="eastAsia"/>
          <w:sz w:val="27"/>
          <w:szCs w:val="27"/>
        </w:rPr>
        <w:t>（五）应按照“清污分流、雨污分流、分质处理、循环用水”的原则，合理设置废水收集、处理和回用系统，减少废水排放量。</w:t>
      </w:r>
    </w:p>
    <w:p w:rsidR="00497BAB" w:rsidRPr="00497BAB" w:rsidRDefault="00497BAB" w:rsidP="00497BAB">
      <w:pPr>
        <w:spacing w:line="400" w:lineRule="exact"/>
        <w:ind w:firstLineChars="200" w:firstLine="532"/>
        <w:rPr>
          <w:rFonts w:ascii="仿宋_GB2312" w:eastAsia="仿宋_GB2312" w:hint="eastAsia"/>
          <w:sz w:val="27"/>
          <w:szCs w:val="27"/>
        </w:rPr>
      </w:pPr>
      <w:r w:rsidRPr="00497BAB">
        <w:rPr>
          <w:rFonts w:ascii="仿宋_GB2312" w:eastAsia="仿宋_GB2312" w:hint="eastAsia"/>
          <w:sz w:val="27"/>
          <w:szCs w:val="27"/>
        </w:rPr>
        <w:t>渗滤液、清洗废水等生产废水及初期雨水应进行收集处理，确需外排的废水应满足相关排放标准等要求。应根据水文地质条件、环境敏感程度等，采取分区防渗等措施有效防范地下水、土壤环境污染。</w:t>
      </w:r>
    </w:p>
    <w:p w:rsidR="00497BAB" w:rsidRPr="00497BAB" w:rsidRDefault="00497BAB" w:rsidP="00497BAB">
      <w:pPr>
        <w:spacing w:line="400" w:lineRule="exact"/>
        <w:ind w:firstLineChars="200" w:firstLine="532"/>
        <w:rPr>
          <w:rFonts w:ascii="仿宋_GB2312" w:eastAsia="仿宋_GB2312" w:hint="eastAsia"/>
          <w:sz w:val="27"/>
          <w:szCs w:val="27"/>
        </w:rPr>
      </w:pPr>
      <w:r w:rsidRPr="00497BAB">
        <w:rPr>
          <w:rFonts w:ascii="仿宋_GB2312" w:eastAsia="仿宋_GB2312" w:hint="eastAsia"/>
          <w:sz w:val="27"/>
          <w:szCs w:val="27"/>
        </w:rPr>
        <w:t>（六）应尽可能采用低噪音设备，优化厂区平面布置，并采取有效的隔声、降噪、减振措施，厂界噪声应满足《工业企业厂界环境噪声排放标准》（GB12348）相应声环境功能区排放限值。</w:t>
      </w:r>
    </w:p>
    <w:p w:rsidR="00497BAB" w:rsidRPr="00497BAB" w:rsidRDefault="00497BAB" w:rsidP="00497BAB">
      <w:pPr>
        <w:spacing w:line="400" w:lineRule="exact"/>
        <w:ind w:firstLineChars="200" w:firstLine="532"/>
        <w:rPr>
          <w:rFonts w:ascii="仿宋_GB2312" w:eastAsia="仿宋_GB2312" w:hint="eastAsia"/>
          <w:sz w:val="27"/>
          <w:szCs w:val="27"/>
        </w:rPr>
      </w:pPr>
      <w:r w:rsidRPr="00497BAB">
        <w:rPr>
          <w:rFonts w:ascii="仿宋_GB2312" w:eastAsia="仿宋_GB2312" w:hint="eastAsia"/>
          <w:sz w:val="27"/>
          <w:szCs w:val="27"/>
        </w:rPr>
        <w:t>（七）应提出项目产生固体废物的分类处理处置要求。需外委处理处置的危险废物，应结合有相应资质的危险废物经营单位的分布情况、处置能力等，提出外委处理处置的途径建议及可行性分析。</w:t>
      </w:r>
    </w:p>
    <w:p w:rsidR="00497BAB" w:rsidRPr="00497BAB" w:rsidRDefault="00497BAB" w:rsidP="00497BAB">
      <w:pPr>
        <w:spacing w:line="400" w:lineRule="exact"/>
        <w:ind w:firstLineChars="200" w:firstLine="532"/>
        <w:rPr>
          <w:rFonts w:ascii="仿宋_GB2312" w:eastAsia="仿宋_GB2312" w:hint="eastAsia"/>
          <w:sz w:val="27"/>
          <w:szCs w:val="27"/>
        </w:rPr>
      </w:pPr>
      <w:r w:rsidRPr="00497BAB">
        <w:rPr>
          <w:rFonts w:ascii="仿宋_GB2312" w:eastAsia="仿宋_GB2312" w:hint="eastAsia"/>
          <w:sz w:val="27"/>
          <w:szCs w:val="27"/>
        </w:rPr>
        <w:t>（八）应结合项目特征对风险源、风险因素及风险影响进行识别、评价，并提出有效的风险防范措施。应提出突发环境事件应急预案编制要求，纳入区域突发环境事件应急联动机制。</w:t>
      </w:r>
    </w:p>
    <w:p w:rsidR="00497BAB" w:rsidRPr="00497BAB" w:rsidRDefault="00497BAB" w:rsidP="00497BAB">
      <w:pPr>
        <w:spacing w:line="400" w:lineRule="exact"/>
        <w:ind w:firstLineChars="200" w:firstLine="532"/>
        <w:rPr>
          <w:rFonts w:ascii="仿宋_GB2312" w:eastAsia="仿宋_GB2312" w:hint="eastAsia"/>
          <w:sz w:val="27"/>
          <w:szCs w:val="27"/>
        </w:rPr>
      </w:pPr>
      <w:r w:rsidRPr="00497BAB">
        <w:rPr>
          <w:rFonts w:ascii="仿宋_GB2312" w:eastAsia="仿宋_GB2312" w:hint="eastAsia"/>
          <w:sz w:val="27"/>
          <w:szCs w:val="27"/>
        </w:rPr>
        <w:t>（九）改扩建项目应全面梳理现有工程存在的环保问题并明确限期整改要求，相关依托工程需进一步优化的，一并提出“以新带老”方案。</w:t>
      </w:r>
    </w:p>
    <w:p w:rsidR="00497BAB" w:rsidRPr="00497BAB" w:rsidRDefault="00497BAB" w:rsidP="00497BAB">
      <w:pPr>
        <w:spacing w:line="400" w:lineRule="exact"/>
        <w:ind w:firstLineChars="200" w:firstLine="532"/>
        <w:rPr>
          <w:rFonts w:ascii="黑体" w:eastAsia="黑体" w:hAnsi="黑体" w:cs="黑体" w:hint="eastAsia"/>
          <w:sz w:val="27"/>
          <w:szCs w:val="27"/>
        </w:rPr>
      </w:pPr>
      <w:r w:rsidRPr="00497BAB">
        <w:rPr>
          <w:rFonts w:ascii="黑体" w:eastAsia="黑体" w:hAnsi="黑体" w:cs="黑体" w:hint="eastAsia"/>
          <w:sz w:val="27"/>
          <w:szCs w:val="27"/>
        </w:rPr>
        <w:t>三、总量控制</w:t>
      </w:r>
    </w:p>
    <w:p w:rsidR="00497BAB" w:rsidRPr="00497BAB" w:rsidRDefault="00497BAB" w:rsidP="00497BAB">
      <w:pPr>
        <w:spacing w:line="400" w:lineRule="exact"/>
        <w:ind w:firstLineChars="200" w:firstLine="532"/>
        <w:rPr>
          <w:rFonts w:ascii="仿宋_GB2312" w:eastAsia="仿宋_GB2312" w:hint="eastAsia"/>
          <w:sz w:val="27"/>
          <w:szCs w:val="27"/>
        </w:rPr>
      </w:pPr>
      <w:r w:rsidRPr="00497BAB">
        <w:rPr>
          <w:rFonts w:ascii="仿宋_GB2312" w:eastAsia="仿宋_GB2312" w:hint="eastAsia"/>
          <w:sz w:val="27"/>
          <w:szCs w:val="27"/>
        </w:rPr>
        <w:t>对选址于环境质量不达标区域的项目，应提出可行、有效的区域污染物削减方案，</w:t>
      </w:r>
      <w:proofErr w:type="gramStart"/>
      <w:r w:rsidRPr="00497BAB">
        <w:rPr>
          <w:rFonts w:ascii="仿宋_GB2312" w:eastAsia="仿宋_GB2312" w:hint="eastAsia"/>
          <w:sz w:val="27"/>
          <w:szCs w:val="27"/>
        </w:rPr>
        <w:t>明确减</w:t>
      </w:r>
      <w:proofErr w:type="gramEnd"/>
      <w:r w:rsidRPr="00497BAB">
        <w:rPr>
          <w:rFonts w:ascii="仿宋_GB2312" w:eastAsia="仿宋_GB2312" w:hint="eastAsia"/>
          <w:sz w:val="27"/>
          <w:szCs w:val="27"/>
        </w:rPr>
        <w:t>排计划、实施时间，确保项目建成投产前落实削减方案，促进区域环境质量改善。</w:t>
      </w:r>
    </w:p>
    <w:p w:rsidR="00497BAB" w:rsidRPr="00497BAB" w:rsidRDefault="00497BAB" w:rsidP="00497BAB">
      <w:pPr>
        <w:spacing w:line="400" w:lineRule="exact"/>
        <w:ind w:firstLineChars="200" w:firstLine="532"/>
        <w:rPr>
          <w:rFonts w:ascii="仿宋_GB2312" w:eastAsia="仿宋_GB2312" w:hint="eastAsia"/>
          <w:sz w:val="27"/>
          <w:szCs w:val="27"/>
        </w:rPr>
      </w:pPr>
      <w:r w:rsidRPr="00497BAB">
        <w:rPr>
          <w:rFonts w:ascii="仿宋_GB2312" w:eastAsia="仿宋_GB2312" w:hint="eastAsia"/>
          <w:sz w:val="27"/>
          <w:szCs w:val="27"/>
        </w:rPr>
        <w:t>按照《建设项目主要污染物排放总量指标审核及管理暂行办法》（环发〔2014〕197号）规定，危险废物利用及处置项目不纳入主要污染物排放总量指标的审核与管理范畴。</w:t>
      </w:r>
    </w:p>
    <w:p w:rsidR="00497BAB" w:rsidRPr="00497BAB" w:rsidRDefault="00497BAB" w:rsidP="00497BAB">
      <w:pPr>
        <w:spacing w:line="400" w:lineRule="exact"/>
        <w:ind w:firstLineChars="200" w:firstLine="532"/>
        <w:rPr>
          <w:rFonts w:ascii="黑体" w:eastAsia="黑体" w:hAnsi="黑体" w:cs="黑体" w:hint="eastAsia"/>
          <w:sz w:val="27"/>
          <w:szCs w:val="27"/>
        </w:rPr>
      </w:pPr>
      <w:r w:rsidRPr="00497BAB">
        <w:rPr>
          <w:rFonts w:ascii="黑体" w:eastAsia="黑体" w:hAnsi="黑体" w:cs="黑体" w:hint="eastAsia"/>
          <w:sz w:val="27"/>
          <w:szCs w:val="27"/>
        </w:rPr>
        <w:t>四、公众参与</w:t>
      </w:r>
    </w:p>
    <w:p w:rsidR="00497BAB" w:rsidRPr="00497BAB" w:rsidRDefault="00497BAB" w:rsidP="00497BAB">
      <w:pPr>
        <w:spacing w:line="400" w:lineRule="exact"/>
        <w:ind w:firstLineChars="200" w:firstLine="532"/>
        <w:rPr>
          <w:rFonts w:ascii="仿宋_GB2312" w:eastAsia="仿宋_GB2312" w:hint="eastAsia"/>
          <w:sz w:val="27"/>
          <w:szCs w:val="27"/>
        </w:rPr>
      </w:pPr>
      <w:r w:rsidRPr="00497BAB">
        <w:rPr>
          <w:rFonts w:ascii="仿宋_GB2312" w:eastAsia="仿宋_GB2312" w:hint="eastAsia"/>
          <w:sz w:val="27"/>
          <w:szCs w:val="27"/>
        </w:rPr>
        <w:t>应按《环境影响评价公众参与办法》（生态环境部第4号令）等的规定，开展信息公开和公众参与工作。应建立畅通的公众参与平台，及时解决公众合理的环境诉求。</w:t>
      </w:r>
    </w:p>
    <w:p w:rsidR="00497BAB" w:rsidRPr="00497BAB" w:rsidRDefault="00497BAB" w:rsidP="00497BAB">
      <w:pPr>
        <w:spacing w:line="400" w:lineRule="exact"/>
        <w:ind w:firstLineChars="200" w:firstLine="532"/>
        <w:rPr>
          <w:rFonts w:ascii="黑体" w:eastAsia="黑体" w:hAnsi="黑体" w:cs="黑体" w:hint="eastAsia"/>
          <w:sz w:val="27"/>
          <w:szCs w:val="27"/>
        </w:rPr>
      </w:pPr>
      <w:r w:rsidRPr="00497BAB">
        <w:rPr>
          <w:rFonts w:ascii="黑体" w:eastAsia="黑体" w:hAnsi="黑体" w:cs="黑体" w:hint="eastAsia"/>
          <w:sz w:val="27"/>
          <w:szCs w:val="27"/>
        </w:rPr>
        <w:t>五、其他</w:t>
      </w:r>
    </w:p>
    <w:p w:rsidR="00497BAB" w:rsidRPr="00497BAB" w:rsidRDefault="00497BAB" w:rsidP="00497BAB">
      <w:pPr>
        <w:spacing w:line="400" w:lineRule="exact"/>
        <w:ind w:firstLineChars="200" w:firstLine="532"/>
        <w:rPr>
          <w:rFonts w:ascii="仿宋_GB2312" w:eastAsia="仿宋_GB2312" w:hint="eastAsia"/>
          <w:sz w:val="27"/>
          <w:szCs w:val="27"/>
        </w:rPr>
      </w:pPr>
      <w:r w:rsidRPr="00497BAB">
        <w:rPr>
          <w:rFonts w:ascii="仿宋_GB2312" w:eastAsia="仿宋_GB2312" w:hint="eastAsia"/>
          <w:sz w:val="27"/>
          <w:szCs w:val="27"/>
        </w:rPr>
        <w:t>（一）应提出项目运行环境管理要求，制定施工期、运行期自行环境监测计划，按规范设置污染物排放口，安装污染物排放自动监测系统。</w:t>
      </w:r>
    </w:p>
    <w:p w:rsidR="00497BAB" w:rsidRDefault="00497BAB" w:rsidP="00497BAB">
      <w:pPr>
        <w:spacing w:line="400" w:lineRule="exact"/>
        <w:ind w:firstLineChars="200" w:firstLine="512"/>
      </w:pPr>
      <w:r w:rsidRPr="00497BAB">
        <w:rPr>
          <w:rFonts w:ascii="仿宋_GB2312" w:eastAsia="仿宋_GB2312" w:hint="eastAsia"/>
          <w:spacing w:val="-5"/>
          <w:sz w:val="27"/>
          <w:szCs w:val="27"/>
        </w:rPr>
        <w:t>（二）结合《排污许可管理办法(试行)》《排污许可证申请与核发技术规范 总则》等的要求，做好与排污许可证核发的有效衔接。</w:t>
      </w:r>
    </w:p>
    <w:sectPr w:rsidR="00497BAB" w:rsidSect="00497BAB">
      <w:footerReference w:type="default" r:id="rId7"/>
      <w:pgSz w:w="11906" w:h="16838"/>
      <w:pgMar w:top="1077" w:right="1077" w:bottom="1077" w:left="1077" w:header="851" w:footer="680" w:gutter="0"/>
      <w:cols w:space="720"/>
      <w:docGrid w:type="linesAndChars" w:linePitch="569"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BAB" w:rsidRDefault="00497BAB" w:rsidP="00497BAB">
      <w:r>
        <w:separator/>
      </w:r>
    </w:p>
  </w:endnote>
  <w:endnote w:type="continuationSeparator" w:id="0">
    <w:p w:rsidR="00497BAB" w:rsidRDefault="00497BAB" w:rsidP="00497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396" w:rsidRDefault="00497BA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BAB" w:rsidRDefault="00497BAB" w:rsidP="00497BAB">
      <w:r>
        <w:separator/>
      </w:r>
    </w:p>
  </w:footnote>
  <w:footnote w:type="continuationSeparator" w:id="0">
    <w:p w:rsidR="00497BAB" w:rsidRDefault="00497BAB" w:rsidP="00497B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HorizontalSpacing w:val="103"/>
  <w:drawingGridVerticalSpacing w:val="569"/>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BAB"/>
    <w:rsid w:val="00497BAB"/>
    <w:rsid w:val="00552C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497BAB"/>
  </w:style>
  <w:style w:type="paragraph" w:styleId="a4">
    <w:name w:val="header"/>
    <w:basedOn w:val="a"/>
    <w:link w:val="Char"/>
    <w:rsid w:val="00497BAB"/>
    <w:pPr>
      <w:tabs>
        <w:tab w:val="center" w:pos="4153"/>
        <w:tab w:val="right" w:pos="8306"/>
      </w:tabs>
      <w:snapToGrid w:val="0"/>
      <w:jc w:val="center"/>
    </w:pPr>
    <w:rPr>
      <w:rFonts w:ascii="Times New Roman" w:eastAsia="仿宋_GB2312" w:hAnsi="Times New Roman" w:cs="Times New Roman"/>
      <w:sz w:val="18"/>
      <w:szCs w:val="18"/>
    </w:rPr>
  </w:style>
  <w:style w:type="character" w:customStyle="1" w:styleId="Char">
    <w:name w:val="页眉 Char"/>
    <w:basedOn w:val="a0"/>
    <w:link w:val="a4"/>
    <w:rsid w:val="00497BAB"/>
    <w:rPr>
      <w:rFonts w:ascii="Times New Roman" w:eastAsia="仿宋_GB2312" w:hAnsi="Times New Roman" w:cs="Times New Roman"/>
      <w:sz w:val="18"/>
      <w:szCs w:val="18"/>
    </w:rPr>
  </w:style>
  <w:style w:type="paragraph" w:styleId="a5">
    <w:name w:val="footer"/>
    <w:basedOn w:val="a"/>
    <w:link w:val="Char0"/>
    <w:rsid w:val="00497BAB"/>
    <w:pPr>
      <w:tabs>
        <w:tab w:val="center" w:pos="4153"/>
        <w:tab w:val="right" w:pos="8306"/>
      </w:tabs>
      <w:snapToGrid w:val="0"/>
      <w:jc w:val="left"/>
    </w:pPr>
    <w:rPr>
      <w:rFonts w:ascii="Times New Roman" w:eastAsia="仿宋_GB2312" w:hAnsi="Times New Roman" w:cs="Times New Roman"/>
      <w:sz w:val="18"/>
      <w:szCs w:val="18"/>
    </w:rPr>
  </w:style>
  <w:style w:type="character" w:customStyle="1" w:styleId="Char0">
    <w:name w:val="页脚 Char"/>
    <w:basedOn w:val="a0"/>
    <w:link w:val="a5"/>
    <w:rsid w:val="00497BAB"/>
    <w:rPr>
      <w:rFonts w:ascii="Times New Roman" w:eastAsia="仿宋_GB2312" w:hAnsi="Times New Roman" w:cs="Times New Roman"/>
      <w:sz w:val="18"/>
      <w:szCs w:val="18"/>
    </w:rPr>
  </w:style>
  <w:style w:type="paragraph" w:styleId="a6">
    <w:name w:val="Balloon Text"/>
    <w:basedOn w:val="a"/>
    <w:link w:val="Char1"/>
    <w:uiPriority w:val="99"/>
    <w:semiHidden/>
    <w:unhideWhenUsed/>
    <w:rsid w:val="00497BAB"/>
    <w:rPr>
      <w:sz w:val="18"/>
      <w:szCs w:val="18"/>
    </w:rPr>
  </w:style>
  <w:style w:type="character" w:customStyle="1" w:styleId="Char1">
    <w:name w:val="批注框文本 Char"/>
    <w:basedOn w:val="a0"/>
    <w:link w:val="a6"/>
    <w:uiPriority w:val="99"/>
    <w:semiHidden/>
    <w:rsid w:val="00497BA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497BAB"/>
  </w:style>
  <w:style w:type="paragraph" w:styleId="a4">
    <w:name w:val="header"/>
    <w:basedOn w:val="a"/>
    <w:link w:val="Char"/>
    <w:rsid w:val="00497BAB"/>
    <w:pPr>
      <w:tabs>
        <w:tab w:val="center" w:pos="4153"/>
        <w:tab w:val="right" w:pos="8306"/>
      </w:tabs>
      <w:snapToGrid w:val="0"/>
      <w:jc w:val="center"/>
    </w:pPr>
    <w:rPr>
      <w:rFonts w:ascii="Times New Roman" w:eastAsia="仿宋_GB2312" w:hAnsi="Times New Roman" w:cs="Times New Roman"/>
      <w:sz w:val="18"/>
      <w:szCs w:val="18"/>
    </w:rPr>
  </w:style>
  <w:style w:type="character" w:customStyle="1" w:styleId="Char">
    <w:name w:val="页眉 Char"/>
    <w:basedOn w:val="a0"/>
    <w:link w:val="a4"/>
    <w:rsid w:val="00497BAB"/>
    <w:rPr>
      <w:rFonts w:ascii="Times New Roman" w:eastAsia="仿宋_GB2312" w:hAnsi="Times New Roman" w:cs="Times New Roman"/>
      <w:sz w:val="18"/>
      <w:szCs w:val="18"/>
    </w:rPr>
  </w:style>
  <w:style w:type="paragraph" w:styleId="a5">
    <w:name w:val="footer"/>
    <w:basedOn w:val="a"/>
    <w:link w:val="Char0"/>
    <w:rsid w:val="00497BAB"/>
    <w:pPr>
      <w:tabs>
        <w:tab w:val="center" w:pos="4153"/>
        <w:tab w:val="right" w:pos="8306"/>
      </w:tabs>
      <w:snapToGrid w:val="0"/>
      <w:jc w:val="left"/>
    </w:pPr>
    <w:rPr>
      <w:rFonts w:ascii="Times New Roman" w:eastAsia="仿宋_GB2312" w:hAnsi="Times New Roman" w:cs="Times New Roman"/>
      <w:sz w:val="18"/>
      <w:szCs w:val="18"/>
    </w:rPr>
  </w:style>
  <w:style w:type="character" w:customStyle="1" w:styleId="Char0">
    <w:name w:val="页脚 Char"/>
    <w:basedOn w:val="a0"/>
    <w:link w:val="a5"/>
    <w:rsid w:val="00497BAB"/>
    <w:rPr>
      <w:rFonts w:ascii="Times New Roman" w:eastAsia="仿宋_GB2312" w:hAnsi="Times New Roman" w:cs="Times New Roman"/>
      <w:sz w:val="18"/>
      <w:szCs w:val="18"/>
    </w:rPr>
  </w:style>
  <w:style w:type="paragraph" w:styleId="a6">
    <w:name w:val="Balloon Text"/>
    <w:basedOn w:val="a"/>
    <w:link w:val="Char1"/>
    <w:uiPriority w:val="99"/>
    <w:semiHidden/>
    <w:unhideWhenUsed/>
    <w:rsid w:val="00497BAB"/>
    <w:rPr>
      <w:sz w:val="18"/>
      <w:szCs w:val="18"/>
    </w:rPr>
  </w:style>
  <w:style w:type="character" w:customStyle="1" w:styleId="Char1">
    <w:name w:val="批注框文本 Char"/>
    <w:basedOn w:val="a0"/>
    <w:link w:val="a6"/>
    <w:uiPriority w:val="99"/>
    <w:semiHidden/>
    <w:rsid w:val="00497BA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310</Words>
  <Characters>1768</Characters>
  <Application>Microsoft Office Word</Application>
  <DocSecurity>0</DocSecurity>
  <Lines>14</Lines>
  <Paragraphs>4</Paragraphs>
  <ScaleCrop>false</ScaleCrop>
  <Company>Chinese ORG</Company>
  <LinksUpToDate>false</LinksUpToDate>
  <CharactersWithSpaces>2074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李健康</dc:creator>
  <cp:lastModifiedBy>李健康</cp:lastModifiedBy>
  <cp:revision>1</cp:revision>
  <cp:lastPrinted>2020-10-29T01:07:00Z</cp:lastPrinted>
  <dcterms:created xsi:type="dcterms:W3CDTF">2020-10-29T01:01:00Z</dcterms:created>
  <dcterms:modified xsi:type="dcterms:W3CDTF">2020-10-29T01:12:00Z</dcterms:modified>
</cp:coreProperties>
</file>