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仿宋" w:eastAsia="方正小标宋简体" w:cs="方正仿宋简体"/>
          <w:color w:val="000000"/>
          <w:sz w:val="32"/>
          <w:szCs w:val="32"/>
        </w:rPr>
      </w:pPr>
      <w:bookmarkStart w:id="0" w:name="_GoBack"/>
      <w:bookmarkEnd w:id="0"/>
      <w:r>
        <w:rPr>
          <w:rFonts w:hint="eastAsia" w:ascii="方正小标宋简体" w:hAnsi="仿宋" w:eastAsia="方正小标宋简体" w:cs="方正仿宋简体"/>
          <w:color w:val="000000"/>
          <w:sz w:val="32"/>
          <w:szCs w:val="32"/>
        </w:rPr>
        <w:t>江门市食品接触用金属制品质量安全监督抽查实施细则（2024年版）</w:t>
      </w:r>
    </w:p>
    <w:p>
      <w:pPr>
        <w:spacing w:line="360" w:lineRule="auto"/>
        <w:ind w:firstLine="420" w:firstLineChars="200"/>
        <w:rPr>
          <w:rFonts w:ascii="仿宋_GB2312" w:hAnsi="仿宋_GB2312" w:eastAsia="仿宋_GB2312" w:cs="仿宋_GB2312"/>
          <w:sz w:val="28"/>
          <w:szCs w:val="28"/>
        </w:rPr>
      </w:pPr>
      <w:r>
        <w:rPr>
          <w:rFonts w:hint="eastAsia" w:ascii="宋体" w:hAnsi="宋体"/>
          <w:color w:val="000000"/>
          <w:szCs w:val="21"/>
        </w:rPr>
        <w:t>本细则适用于江门市生产领域中食品接触用金属制品的市级监督抽查。</w:t>
      </w:r>
    </w:p>
    <w:p>
      <w:pPr>
        <w:snapToGrid w:val="0"/>
        <w:spacing w:line="360" w:lineRule="auto"/>
        <w:rPr>
          <w:b/>
          <w:color w:val="000000"/>
          <w:sz w:val="24"/>
        </w:rPr>
      </w:pPr>
      <w:r>
        <w:rPr>
          <w:rFonts w:hint="eastAsia"/>
          <w:b/>
          <w:color w:val="000000"/>
          <w:sz w:val="24"/>
        </w:rPr>
        <w:t>1、抽样方法</w:t>
      </w:r>
    </w:p>
    <w:p>
      <w:pPr>
        <w:adjustRightInd w:val="0"/>
        <w:snapToGrid w:val="0"/>
        <w:spacing w:line="560" w:lineRule="exact"/>
        <w:ind w:firstLine="420" w:firstLineChars="200"/>
        <w:rPr>
          <w:color w:val="000000"/>
          <w:szCs w:val="21"/>
        </w:rPr>
      </w:pPr>
      <w:r>
        <w:rPr>
          <w:rFonts w:hint="eastAsia"/>
          <w:color w:val="000000"/>
          <w:szCs w:val="21"/>
        </w:rPr>
        <w:t>以随机抽样的方式在被抽样经营者的待销售（或待使用）产品中抽取。</w:t>
      </w:r>
    </w:p>
    <w:p>
      <w:pPr>
        <w:spacing w:line="360" w:lineRule="auto"/>
        <w:ind w:firstLine="420" w:firstLineChars="200"/>
        <w:rPr>
          <w:color w:val="000000"/>
          <w:szCs w:val="21"/>
        </w:rPr>
      </w:pPr>
      <w:r>
        <w:rPr>
          <w:rFonts w:hint="eastAsia"/>
          <w:color w:val="000000"/>
          <w:szCs w:val="21"/>
        </w:rPr>
        <w:t>随机数一般可使用随机数表、随机数骰子或扑克牌等方法产生。</w:t>
      </w:r>
    </w:p>
    <w:p>
      <w:pPr>
        <w:spacing w:line="360" w:lineRule="auto"/>
        <w:ind w:firstLine="420" w:firstLineChars="200"/>
        <w:rPr>
          <w:rFonts w:ascii="宋体" w:hAnsi="宋体"/>
          <w:color w:val="000000"/>
          <w:szCs w:val="21"/>
        </w:rPr>
      </w:pPr>
      <w:r>
        <w:rPr>
          <w:rFonts w:hint="eastAsia"/>
          <w:szCs w:val="32"/>
        </w:rPr>
        <w:t>样品抽取数量见表1</w:t>
      </w:r>
    </w:p>
    <w:p>
      <w:pPr>
        <w:adjustRightInd w:val="0"/>
        <w:snapToGrid w:val="0"/>
        <w:spacing w:line="560" w:lineRule="exact"/>
        <w:ind w:firstLine="420" w:firstLineChars="200"/>
        <w:jc w:val="center"/>
        <w:rPr>
          <w:szCs w:val="32"/>
        </w:rPr>
      </w:pPr>
      <w:r>
        <w:rPr>
          <w:rFonts w:hint="eastAsia"/>
          <w:szCs w:val="32"/>
        </w:rPr>
        <w:t>表</w:t>
      </w:r>
      <w:r>
        <w:rPr>
          <w:szCs w:val="32"/>
        </w:rPr>
        <w:t>1  抽样产品名称及抽样</w:t>
      </w:r>
      <w:r>
        <w:rPr>
          <w:rFonts w:hint="eastAsia"/>
          <w:szCs w:val="32"/>
        </w:rPr>
        <w:t>数量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485"/>
        <w:gridCol w:w="1727"/>
        <w:gridCol w:w="1728"/>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Align w:val="center"/>
          </w:tcPr>
          <w:p>
            <w:pPr>
              <w:adjustRightInd w:val="0"/>
              <w:snapToGrid w:val="0"/>
              <w:spacing w:line="300" w:lineRule="exact"/>
              <w:jc w:val="center"/>
              <w:rPr>
                <w:rFonts w:ascii="黑体" w:hAnsi="黑体" w:eastAsia="黑体" w:cs="黑体"/>
                <w:bCs/>
                <w:color w:val="000000"/>
                <w:szCs w:val="21"/>
              </w:rPr>
            </w:pPr>
            <w:r>
              <w:rPr>
                <w:rFonts w:hint="eastAsia" w:ascii="黑体" w:hAnsi="黑体" w:eastAsia="黑体" w:cs="黑体"/>
                <w:bCs/>
                <w:color w:val="000000"/>
                <w:szCs w:val="21"/>
              </w:rPr>
              <w:t>序号</w:t>
            </w:r>
          </w:p>
        </w:tc>
        <w:tc>
          <w:tcPr>
            <w:tcW w:w="2729" w:type="dxa"/>
            <w:vAlign w:val="center"/>
          </w:tcPr>
          <w:p>
            <w:pPr>
              <w:adjustRightInd w:val="0"/>
              <w:snapToGrid w:val="0"/>
              <w:spacing w:line="300" w:lineRule="exact"/>
              <w:jc w:val="center"/>
              <w:rPr>
                <w:rFonts w:ascii="黑体" w:hAnsi="黑体" w:eastAsia="黑体" w:cs="黑体"/>
                <w:bCs/>
                <w:color w:val="000000"/>
                <w:szCs w:val="21"/>
              </w:rPr>
            </w:pPr>
            <w:r>
              <w:rPr>
                <w:rFonts w:hint="eastAsia" w:ascii="黑体" w:hAnsi="黑体" w:eastAsia="黑体" w:cs="黑体"/>
                <w:bCs/>
                <w:color w:val="000000"/>
                <w:szCs w:val="21"/>
              </w:rPr>
              <w:t>产品名称</w:t>
            </w:r>
          </w:p>
        </w:tc>
        <w:tc>
          <w:tcPr>
            <w:tcW w:w="1844" w:type="dxa"/>
            <w:vAlign w:val="center"/>
          </w:tcPr>
          <w:p>
            <w:pPr>
              <w:adjustRightInd w:val="0"/>
              <w:snapToGrid w:val="0"/>
              <w:spacing w:line="300" w:lineRule="exact"/>
              <w:rPr>
                <w:rFonts w:ascii="黑体" w:hAnsi="黑体" w:eastAsia="黑体" w:cs="黑体"/>
                <w:bCs/>
                <w:color w:val="000000"/>
                <w:szCs w:val="21"/>
              </w:rPr>
            </w:pPr>
            <w:r>
              <w:rPr>
                <w:rFonts w:hint="eastAsia" w:ascii="黑体" w:hAnsi="黑体" w:eastAsia="黑体" w:cs="黑体"/>
                <w:bCs/>
                <w:color w:val="000000"/>
                <w:szCs w:val="21"/>
              </w:rPr>
              <w:t>抽样数量（个）</w:t>
            </w:r>
          </w:p>
        </w:tc>
        <w:tc>
          <w:tcPr>
            <w:tcW w:w="1845" w:type="dxa"/>
            <w:vAlign w:val="center"/>
          </w:tcPr>
          <w:p>
            <w:pPr>
              <w:adjustRightInd w:val="0"/>
              <w:snapToGrid w:val="0"/>
              <w:spacing w:line="300" w:lineRule="exact"/>
              <w:rPr>
                <w:rFonts w:ascii="黑体" w:hAnsi="黑体" w:eastAsia="黑体" w:cs="黑体"/>
                <w:bCs/>
                <w:color w:val="000000"/>
                <w:szCs w:val="21"/>
              </w:rPr>
            </w:pPr>
            <w:r>
              <w:rPr>
                <w:rFonts w:hint="eastAsia" w:ascii="黑体" w:hAnsi="黑体" w:eastAsia="黑体" w:cs="黑体"/>
                <w:bCs/>
                <w:color w:val="000000"/>
                <w:szCs w:val="21"/>
              </w:rPr>
              <w:t>检样数量（个）</w:t>
            </w:r>
          </w:p>
        </w:tc>
        <w:tc>
          <w:tcPr>
            <w:tcW w:w="1796" w:type="dxa"/>
            <w:vAlign w:val="center"/>
          </w:tcPr>
          <w:p>
            <w:pPr>
              <w:adjustRightInd w:val="0"/>
              <w:snapToGrid w:val="0"/>
              <w:spacing w:line="300" w:lineRule="exact"/>
              <w:rPr>
                <w:rFonts w:ascii="黑体" w:hAnsi="黑体" w:eastAsia="黑体" w:cs="黑体"/>
                <w:bCs/>
                <w:color w:val="000000"/>
                <w:szCs w:val="21"/>
              </w:rPr>
            </w:pPr>
            <w:r>
              <w:rPr>
                <w:rFonts w:hint="eastAsia" w:ascii="黑体" w:hAnsi="黑体" w:eastAsia="黑体" w:cs="黑体"/>
                <w:bCs/>
                <w:color w:val="000000"/>
                <w:szCs w:val="21"/>
              </w:rPr>
              <w:t>备样数量（个）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1</w:t>
            </w:r>
          </w:p>
        </w:tc>
        <w:tc>
          <w:tcPr>
            <w:tcW w:w="2729"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餐刀、叉、</w:t>
            </w:r>
            <w:r>
              <w:rPr>
                <w:rFonts w:ascii="宋体" w:hAnsi="宋体"/>
                <w:bCs/>
                <w:color w:val="000000"/>
                <w:szCs w:val="21"/>
              </w:rPr>
              <w:t>餐</w:t>
            </w:r>
            <w:r>
              <w:rPr>
                <w:rFonts w:hint="eastAsia" w:ascii="宋体" w:hAnsi="宋体"/>
                <w:bCs/>
                <w:color w:val="000000"/>
                <w:szCs w:val="21"/>
              </w:rPr>
              <w:t>勺、筷子</w:t>
            </w:r>
          </w:p>
        </w:tc>
        <w:tc>
          <w:tcPr>
            <w:tcW w:w="1844"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1</w:t>
            </w:r>
            <w:r>
              <w:rPr>
                <w:rFonts w:ascii="宋体" w:hAnsi="宋体"/>
                <w:bCs/>
                <w:color w:val="000000"/>
                <w:szCs w:val="21"/>
              </w:rPr>
              <w:t>4</w:t>
            </w:r>
          </w:p>
        </w:tc>
        <w:tc>
          <w:tcPr>
            <w:tcW w:w="1845"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8</w:t>
            </w:r>
          </w:p>
        </w:tc>
        <w:tc>
          <w:tcPr>
            <w:tcW w:w="1796" w:type="dxa"/>
            <w:vAlign w:val="center"/>
          </w:tcPr>
          <w:p>
            <w:pPr>
              <w:adjustRightInd w:val="0"/>
              <w:snapToGrid w:val="0"/>
              <w:spacing w:line="300" w:lineRule="exact"/>
              <w:jc w:val="center"/>
              <w:rPr>
                <w:rFonts w:ascii="宋体" w:hAnsi="宋体"/>
                <w:bCs/>
                <w:color w:val="000000"/>
                <w:szCs w:val="21"/>
              </w:rPr>
            </w:pPr>
            <w:r>
              <w:rPr>
                <w:rFonts w:ascii="宋体" w:hAnsi="宋体"/>
                <w:bCs/>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2</w:t>
            </w:r>
          </w:p>
        </w:tc>
        <w:tc>
          <w:tcPr>
            <w:tcW w:w="2729"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勺、铲、漏勺</w:t>
            </w:r>
          </w:p>
        </w:tc>
        <w:tc>
          <w:tcPr>
            <w:tcW w:w="1844"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8</w:t>
            </w:r>
          </w:p>
        </w:tc>
        <w:tc>
          <w:tcPr>
            <w:tcW w:w="1845" w:type="dxa"/>
            <w:vAlign w:val="center"/>
          </w:tcPr>
          <w:p>
            <w:pPr>
              <w:adjustRightInd w:val="0"/>
              <w:snapToGrid w:val="0"/>
              <w:spacing w:line="300" w:lineRule="exact"/>
              <w:jc w:val="center"/>
              <w:rPr>
                <w:rFonts w:ascii="宋体" w:hAnsi="宋体"/>
                <w:bCs/>
                <w:color w:val="000000"/>
                <w:szCs w:val="21"/>
              </w:rPr>
            </w:pPr>
            <w:r>
              <w:rPr>
                <w:rFonts w:ascii="宋体" w:hAnsi="宋体"/>
                <w:bCs/>
                <w:color w:val="000000"/>
                <w:szCs w:val="21"/>
              </w:rPr>
              <w:t>6</w:t>
            </w:r>
          </w:p>
        </w:tc>
        <w:tc>
          <w:tcPr>
            <w:tcW w:w="1796"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3</w:t>
            </w:r>
          </w:p>
        </w:tc>
        <w:tc>
          <w:tcPr>
            <w:tcW w:w="2729"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菜刀</w:t>
            </w:r>
          </w:p>
        </w:tc>
        <w:tc>
          <w:tcPr>
            <w:tcW w:w="1844"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7</w:t>
            </w:r>
          </w:p>
        </w:tc>
        <w:tc>
          <w:tcPr>
            <w:tcW w:w="1845" w:type="dxa"/>
            <w:vAlign w:val="center"/>
          </w:tcPr>
          <w:p>
            <w:pPr>
              <w:adjustRightInd w:val="0"/>
              <w:snapToGrid w:val="0"/>
              <w:spacing w:line="300" w:lineRule="exact"/>
              <w:jc w:val="center"/>
              <w:rPr>
                <w:rFonts w:ascii="宋体" w:hAnsi="宋体"/>
                <w:bCs/>
                <w:color w:val="000000"/>
                <w:szCs w:val="21"/>
              </w:rPr>
            </w:pPr>
            <w:r>
              <w:rPr>
                <w:rFonts w:ascii="宋体" w:hAnsi="宋体"/>
                <w:bCs/>
                <w:color w:val="000000"/>
                <w:szCs w:val="21"/>
              </w:rPr>
              <w:t>5</w:t>
            </w:r>
          </w:p>
        </w:tc>
        <w:tc>
          <w:tcPr>
            <w:tcW w:w="1796"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4</w:t>
            </w:r>
          </w:p>
        </w:tc>
        <w:tc>
          <w:tcPr>
            <w:tcW w:w="2729"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锅、杯、盘、盆、桶</w:t>
            </w:r>
          </w:p>
        </w:tc>
        <w:tc>
          <w:tcPr>
            <w:tcW w:w="1844"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7</w:t>
            </w:r>
          </w:p>
        </w:tc>
        <w:tc>
          <w:tcPr>
            <w:tcW w:w="1845" w:type="dxa"/>
            <w:vAlign w:val="center"/>
          </w:tcPr>
          <w:p>
            <w:pPr>
              <w:adjustRightInd w:val="0"/>
              <w:snapToGrid w:val="0"/>
              <w:spacing w:line="300" w:lineRule="exact"/>
              <w:jc w:val="center"/>
              <w:rPr>
                <w:rFonts w:ascii="宋体" w:hAnsi="宋体"/>
                <w:bCs/>
                <w:color w:val="000000"/>
                <w:szCs w:val="21"/>
              </w:rPr>
            </w:pPr>
            <w:r>
              <w:rPr>
                <w:rFonts w:ascii="宋体" w:hAnsi="宋体"/>
                <w:bCs/>
                <w:color w:val="000000"/>
                <w:szCs w:val="21"/>
              </w:rPr>
              <w:t>5</w:t>
            </w:r>
          </w:p>
        </w:tc>
        <w:tc>
          <w:tcPr>
            <w:tcW w:w="1796"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5</w:t>
            </w:r>
          </w:p>
        </w:tc>
        <w:tc>
          <w:tcPr>
            <w:tcW w:w="2729"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家用钢制锅具（不含内表面搪瓷制品）</w:t>
            </w:r>
          </w:p>
        </w:tc>
        <w:tc>
          <w:tcPr>
            <w:tcW w:w="1844"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5</w:t>
            </w:r>
          </w:p>
        </w:tc>
        <w:tc>
          <w:tcPr>
            <w:tcW w:w="1845"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3</w:t>
            </w:r>
          </w:p>
        </w:tc>
        <w:tc>
          <w:tcPr>
            <w:tcW w:w="1796" w:type="dxa"/>
            <w:vAlign w:val="center"/>
          </w:tcPr>
          <w:p>
            <w:pPr>
              <w:adjustRightInd w:val="0"/>
              <w:snapToGrid w:val="0"/>
              <w:spacing w:line="300" w:lineRule="exact"/>
              <w:jc w:val="center"/>
              <w:rPr>
                <w:rFonts w:ascii="宋体" w:hAnsi="宋体"/>
                <w:bCs/>
                <w:color w:val="000000"/>
                <w:szCs w:val="21"/>
              </w:rPr>
            </w:pPr>
            <w:r>
              <w:rPr>
                <w:rFonts w:ascii="宋体" w:hAnsi="宋体"/>
                <w:bCs/>
                <w:color w:val="000000"/>
                <w:szCs w:val="21"/>
              </w:rPr>
              <w:t>2</w:t>
            </w:r>
          </w:p>
        </w:tc>
      </w:tr>
    </w:tbl>
    <w:p>
      <w:pPr>
        <w:snapToGrid w:val="0"/>
        <w:spacing w:line="360" w:lineRule="auto"/>
        <w:rPr>
          <w:b/>
          <w:color w:val="000000"/>
          <w:sz w:val="24"/>
        </w:rPr>
      </w:pPr>
      <w:r>
        <w:rPr>
          <w:rFonts w:hint="eastAsia"/>
          <w:b/>
          <w:color w:val="000000"/>
          <w:sz w:val="24"/>
        </w:rPr>
        <w:t>2、检验依据</w:t>
      </w:r>
    </w:p>
    <w:p>
      <w:pPr>
        <w:snapToGrid w:val="0"/>
        <w:spacing w:line="360" w:lineRule="auto"/>
        <w:ind w:firstLine="420" w:firstLineChars="200"/>
        <w:jc w:val="center"/>
        <w:rPr>
          <w:color w:val="000000"/>
          <w:szCs w:val="21"/>
        </w:rPr>
      </w:pPr>
      <w:r>
        <w:rPr>
          <w:rFonts w:hint="eastAsia"/>
          <w:color w:val="000000"/>
          <w:szCs w:val="21"/>
        </w:rPr>
        <w:t>表1  食品接触用金属制品检验项目</w:t>
      </w:r>
    </w:p>
    <w:tbl>
      <w:tblPr>
        <w:tblStyle w:val="5"/>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87"/>
        <w:gridCol w:w="2126"/>
        <w:gridCol w:w="2835"/>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color w:val="000000"/>
                <w:szCs w:val="21"/>
              </w:rPr>
            </w:pPr>
            <w:r>
              <w:rPr>
                <w:rFonts w:hint="eastAsia" w:ascii="宋体" w:hAnsi="宋体"/>
                <w:b/>
                <w:color w:val="000000"/>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color w:val="000000"/>
                <w:szCs w:val="21"/>
              </w:rPr>
            </w:pPr>
            <w:r>
              <w:rPr>
                <w:rFonts w:hint="eastAsia" w:ascii="宋体" w:hAnsi="宋体"/>
                <w:b/>
                <w:color w:val="000000"/>
                <w:szCs w:val="21"/>
              </w:rPr>
              <w:t>检验项目</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color w:val="000000"/>
                <w:szCs w:val="21"/>
              </w:rPr>
            </w:pPr>
            <w:r>
              <w:rPr>
                <w:rFonts w:hint="eastAsia" w:ascii="宋体" w:hAnsi="宋体"/>
                <w:b/>
                <w:color w:val="000000"/>
                <w:szCs w:val="21"/>
              </w:rPr>
              <w:t>检验依据</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color w:val="000000"/>
                <w:szCs w:val="21"/>
              </w:rPr>
            </w:pPr>
            <w:r>
              <w:rPr>
                <w:rFonts w:hint="eastAsia" w:ascii="宋体" w:hAnsi="宋体"/>
                <w:b/>
                <w:color w:val="000000"/>
                <w:szCs w:val="21"/>
              </w:rPr>
              <w:t>检验方法</w:t>
            </w:r>
          </w:p>
        </w:tc>
        <w:tc>
          <w:tcPr>
            <w:tcW w:w="2121"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感官</w:t>
            </w:r>
          </w:p>
        </w:tc>
        <w:tc>
          <w:tcPr>
            <w:tcW w:w="2126" w:type="dxa"/>
            <w:vMerge w:val="restart"/>
            <w:tcBorders>
              <w:top w:val="single" w:color="auto" w:sz="4" w:space="0"/>
              <w:left w:val="single" w:color="auto" w:sz="4" w:space="0"/>
              <w:right w:val="single" w:color="auto" w:sz="4" w:space="0"/>
            </w:tcBorders>
            <w:vAlign w:val="center"/>
          </w:tcPr>
          <w:p>
            <w:pPr>
              <w:jc w:val="center"/>
              <w:textAlignment w:val="center"/>
              <w:rPr>
                <w:rFonts w:cs="宋体"/>
                <w:szCs w:val="21"/>
              </w:rPr>
            </w:pPr>
            <w:r>
              <w:rPr>
                <w:rFonts w:hint="eastAsia" w:cs="宋体"/>
                <w:szCs w:val="21"/>
              </w:rPr>
              <w:t>GB 4806.9-2016</w:t>
            </w:r>
          </w:p>
          <w:p>
            <w:pPr>
              <w:spacing w:line="360" w:lineRule="auto"/>
              <w:jc w:val="center"/>
              <w:textAlignment w:val="center"/>
              <w:rPr>
                <w:rFonts w:cs="宋体"/>
                <w:szCs w:val="21"/>
              </w:rPr>
            </w:pPr>
            <w:r>
              <w:rPr>
                <w:rFonts w:hint="eastAsia" w:cs="宋体"/>
                <w:szCs w:val="21"/>
              </w:rPr>
              <w:t>GB 4806.9-2023</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GB 4806.9-2016</w:t>
            </w:r>
          </w:p>
          <w:p>
            <w:pPr>
              <w:spacing w:line="360" w:lineRule="auto"/>
              <w:jc w:val="center"/>
              <w:textAlignment w:val="center"/>
              <w:rPr>
                <w:rFonts w:cs="宋体"/>
                <w:szCs w:val="21"/>
              </w:rPr>
            </w:pPr>
            <w:r>
              <w:rPr>
                <w:rFonts w:hint="eastAsia" w:cs="宋体"/>
                <w:szCs w:val="21"/>
              </w:rPr>
              <w:t>GB 4806.9-2023</w:t>
            </w:r>
          </w:p>
        </w:tc>
        <w:tc>
          <w:tcPr>
            <w:tcW w:w="2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浸泡液</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GB 4806.9-2016</w:t>
            </w:r>
          </w:p>
          <w:p>
            <w:pPr>
              <w:spacing w:line="360" w:lineRule="auto"/>
              <w:jc w:val="center"/>
              <w:textAlignment w:val="center"/>
              <w:rPr>
                <w:rFonts w:cs="宋体"/>
                <w:szCs w:val="21"/>
              </w:rPr>
            </w:pPr>
            <w:r>
              <w:rPr>
                <w:rFonts w:hint="eastAsia" w:cs="宋体"/>
                <w:szCs w:val="21"/>
              </w:rPr>
              <w:t>GB 4806.9-2023</w:t>
            </w:r>
          </w:p>
        </w:tc>
        <w:tc>
          <w:tcPr>
            <w:tcW w:w="2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砷（As）</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r>
              <w:rPr>
                <w:rFonts w:hint="eastAsia" w:cs="宋体"/>
                <w:szCs w:val="21"/>
              </w:rPr>
              <w:t>GB 31604.38第二部分或GB 31604.49-2016第二部分或GB 31604.49-2023第二篇</w:t>
            </w:r>
          </w:p>
        </w:tc>
        <w:tc>
          <w:tcPr>
            <w:tcW w:w="2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镉（Cd）</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r>
              <w:rPr>
                <w:rFonts w:hint="eastAsia" w:cs="宋体"/>
                <w:szCs w:val="21"/>
              </w:rPr>
              <w:t>GB 31604.38第二部分或GB 31604.49-2016第二部分或GB 31604.49-2023第二篇</w:t>
            </w:r>
          </w:p>
        </w:tc>
        <w:tc>
          <w:tcPr>
            <w:tcW w:w="2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5</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铅（Pb）</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r>
              <w:rPr>
                <w:rFonts w:hint="eastAsia" w:cs="宋体"/>
                <w:szCs w:val="21"/>
              </w:rPr>
              <w:t>GB 31604.38第二部分或GB 31604.49-2016第二部分或GB 31604.49-2023第二篇</w:t>
            </w:r>
          </w:p>
        </w:tc>
        <w:tc>
          <w:tcPr>
            <w:tcW w:w="2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6</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铬（Cr）</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r>
              <w:rPr>
                <w:rFonts w:hint="eastAsia" w:cs="宋体"/>
                <w:szCs w:val="21"/>
              </w:rPr>
              <w:t>GB 31604.38第二部分或GB 31604.49-2016第二部分或GB 31604.49-2023第二篇</w:t>
            </w:r>
          </w:p>
        </w:tc>
        <w:tc>
          <w:tcPr>
            <w:tcW w:w="2121"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与食品直接接触的其他金属材料及制品不检测；</w:t>
            </w:r>
            <w:r>
              <w:rPr>
                <w:rFonts w:hint="eastAsia" w:ascii="宋体" w:hAnsi="宋体" w:cs="仿宋"/>
                <w:szCs w:val="21"/>
              </w:rPr>
              <w:t>马氏体型不锈钢材料及制品不检测该指标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7</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镍（Ni）</w:t>
            </w:r>
          </w:p>
        </w:tc>
        <w:tc>
          <w:tcPr>
            <w:tcW w:w="2126" w:type="dxa"/>
            <w:vMerge w:val="continue"/>
            <w:tcBorders>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r>
              <w:rPr>
                <w:rFonts w:hint="eastAsia" w:cs="宋体"/>
                <w:szCs w:val="21"/>
              </w:rPr>
              <w:t>GB 31604.38第二部分或GB 31604.49-2016第二部分或GB 31604.49-2023第二篇</w:t>
            </w:r>
          </w:p>
        </w:tc>
        <w:tc>
          <w:tcPr>
            <w:tcW w:w="2121"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与食品直接接触的其他金属材料及制品不检测</w:t>
            </w:r>
          </w:p>
        </w:tc>
      </w:tr>
    </w:tbl>
    <w:p>
      <w:pPr>
        <w:adjustRightInd w:val="0"/>
        <w:snapToGrid w:val="0"/>
        <w:spacing w:line="360" w:lineRule="auto"/>
        <w:ind w:firstLine="420" w:firstLineChars="200"/>
        <w:rPr>
          <w:color w:val="000000"/>
          <w:szCs w:val="21"/>
        </w:rPr>
      </w:pPr>
      <w:r>
        <w:rPr>
          <w:rFonts w:hint="eastAsia"/>
          <w:color w:val="000000"/>
          <w:szCs w:val="21"/>
        </w:rPr>
        <w:t>执行企业标准、团体标准、地方标准的产品，检验项目参照上述内容执行。</w:t>
      </w:r>
    </w:p>
    <w:p>
      <w:pPr>
        <w:adjustRightInd w:val="0"/>
        <w:snapToGrid w:val="0"/>
        <w:spacing w:line="360" w:lineRule="auto"/>
        <w:ind w:firstLine="420" w:firstLineChars="200"/>
        <w:rPr>
          <w:b/>
          <w:color w:val="000000"/>
          <w:sz w:val="24"/>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pPr>
        <w:snapToGrid w:val="0"/>
        <w:spacing w:line="360" w:lineRule="auto"/>
        <w:rPr>
          <w:b/>
          <w:color w:val="000000"/>
          <w:sz w:val="24"/>
        </w:rPr>
      </w:pPr>
      <w:r>
        <w:rPr>
          <w:rFonts w:hint="eastAsia"/>
          <w:b/>
          <w:color w:val="000000"/>
          <w:sz w:val="24"/>
        </w:rPr>
        <w:t>3、判定规则</w:t>
      </w:r>
    </w:p>
    <w:p>
      <w:pPr>
        <w:snapToGrid w:val="0"/>
        <w:spacing w:line="360" w:lineRule="auto"/>
        <w:rPr>
          <w:rFonts w:ascii="宋体" w:hAnsi="宋体"/>
          <w:color w:val="000000"/>
          <w:szCs w:val="21"/>
        </w:rPr>
      </w:pPr>
      <w:r>
        <w:rPr>
          <w:rFonts w:hint="eastAsia" w:ascii="宋体" w:hAnsi="宋体"/>
          <w:color w:val="000000"/>
          <w:szCs w:val="21"/>
        </w:rPr>
        <w:t>3.1 依据标准</w:t>
      </w:r>
    </w:p>
    <w:p>
      <w:pPr>
        <w:spacing w:line="360" w:lineRule="auto"/>
        <w:ind w:firstLine="420" w:firstLineChars="200"/>
        <w:rPr>
          <w:rFonts w:ascii="宋体" w:hAnsi="宋体"/>
          <w:color w:val="000000"/>
          <w:szCs w:val="21"/>
        </w:rPr>
      </w:pPr>
      <w:r>
        <w:rPr>
          <w:rFonts w:hint="eastAsia" w:ascii="宋体" w:hAnsi="宋体"/>
          <w:color w:val="000000"/>
          <w:szCs w:val="21"/>
        </w:rPr>
        <w:t>GB 4806.9-2016   食品安全国家标准 食品接触用金属材料及制品</w:t>
      </w:r>
    </w:p>
    <w:p>
      <w:pPr>
        <w:spacing w:line="360" w:lineRule="auto"/>
        <w:ind w:firstLine="420" w:firstLineChars="200"/>
        <w:rPr>
          <w:rFonts w:ascii="宋体" w:hAnsi="宋体"/>
          <w:color w:val="000000"/>
          <w:szCs w:val="21"/>
        </w:rPr>
      </w:pPr>
      <w:r>
        <w:rPr>
          <w:rFonts w:hint="eastAsia" w:ascii="宋体" w:hAnsi="宋体"/>
          <w:color w:val="000000"/>
          <w:szCs w:val="21"/>
        </w:rPr>
        <w:t>GB 4806.9-2023   食品安全国家标准 食品接触用金属材料及制品</w:t>
      </w:r>
    </w:p>
    <w:p>
      <w:pPr>
        <w:snapToGrid w:val="0"/>
        <w:spacing w:line="360" w:lineRule="auto"/>
        <w:ind w:firstLine="420" w:firstLineChars="200"/>
        <w:rPr>
          <w:rFonts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360" w:lineRule="auto"/>
        <w:outlineLvl w:val="0"/>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440" w:lineRule="exact"/>
        <w:ind w:firstLine="420" w:firstLineChars="200"/>
        <w:rPr>
          <w:rFonts w:ascii="宋体" w:hAnsi="宋体"/>
        </w:rPr>
      </w:pPr>
      <w:r>
        <w:rPr>
          <w:rFonts w:hint="eastAsia" w:ascii="宋体" w:hAnsi="宋体"/>
        </w:rPr>
        <w:t>按照产品质量相关法律法规的规定判定。</w:t>
      </w:r>
    </w:p>
    <w:p>
      <w:pPr>
        <w:snapToGrid w:val="0"/>
        <w:spacing w:line="440" w:lineRule="exact"/>
        <w:ind w:firstLine="420" w:firstLineChars="200"/>
        <w:rPr>
          <w:rFonts w:ascii="黑体" w:hAnsi="宋体" w:eastAsia="黑体"/>
          <w:szCs w:val="21"/>
        </w:rPr>
      </w:pPr>
      <w:r>
        <w:rPr>
          <w:rFonts w:hint="eastAsia" w:ascii="宋体" w:hAnsi="宋体"/>
        </w:rPr>
        <w:t>检验中发现因样品失效或者其他原因致使检验无法进行的，检验人员应如实记录，并提供相关证明材料，报送组织监督抽查的市场监管部门</w:t>
      </w:r>
      <w:r>
        <w:rPr>
          <w:rFonts w:hint="eastAsia" w:ascii="宋体" w:hAnsi="宋体"/>
          <w:color w:val="000000"/>
          <w:szCs w:val="21"/>
        </w:rPr>
        <w:t>。</w:t>
      </w:r>
    </w:p>
    <w:p>
      <w:pPr>
        <w:adjustRightInd w:val="0"/>
        <w:snapToGrid w:val="0"/>
        <w:spacing w:line="540" w:lineRule="exact"/>
        <w:rPr>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长城小标宋体">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3193391"/>
    </w:sdtPr>
    <w:sdtContent>
      <w:p>
        <w:pPr>
          <w:pStyle w:val="3"/>
          <w:jc w:val="right"/>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5C05"/>
    <w:rsid w:val="00002A7E"/>
    <w:rsid w:val="00003D4C"/>
    <w:rsid w:val="00064C5E"/>
    <w:rsid w:val="0008128C"/>
    <w:rsid w:val="000A7AE6"/>
    <w:rsid w:val="001D5F10"/>
    <w:rsid w:val="0021536D"/>
    <w:rsid w:val="003E4848"/>
    <w:rsid w:val="004928A9"/>
    <w:rsid w:val="004D2989"/>
    <w:rsid w:val="005C7404"/>
    <w:rsid w:val="005E35D9"/>
    <w:rsid w:val="008858D3"/>
    <w:rsid w:val="009C53B6"/>
    <w:rsid w:val="009D3B27"/>
    <w:rsid w:val="00A358A0"/>
    <w:rsid w:val="00AC5C05"/>
    <w:rsid w:val="00C94BDE"/>
    <w:rsid w:val="00C97871"/>
    <w:rsid w:val="00CC1F76"/>
    <w:rsid w:val="00D51DA9"/>
    <w:rsid w:val="00D60403"/>
    <w:rsid w:val="00DF60AB"/>
    <w:rsid w:val="00E73A50"/>
    <w:rsid w:val="00EE1826"/>
    <w:rsid w:val="00F3416E"/>
    <w:rsid w:val="00F36522"/>
    <w:rsid w:val="3F277F65"/>
    <w:rsid w:val="6EE076D3"/>
    <w:rsid w:val="FEFF5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237</Words>
  <Characters>1355</Characters>
  <Lines>11</Lines>
  <Paragraphs>3</Paragraphs>
  <TotalTime>187</TotalTime>
  <ScaleCrop>false</ScaleCrop>
  <LinksUpToDate>false</LinksUpToDate>
  <CharactersWithSpaces>1589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2019-07-12T08:39:00Z</dcterms:created>
  <dc:creator>陈卓辉</dc:creator>
  <cp:lastModifiedBy>uos</cp:lastModifiedBy>
  <dcterms:modified xsi:type="dcterms:W3CDTF">2024-06-26T15:30:36Z</dcterms:modified>
  <dc:title>江门市食品接触用金属制品质量安全监督抽查实施细则（2024年版）</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