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cs="Times New Roman"/>
          <w:b/>
          <w:sz w:val="44"/>
          <w:szCs w:val="44"/>
          <w:lang w:val="en-US" w:eastAsia="zh-CN"/>
        </w:rPr>
      </w:pPr>
    </w:p>
    <w:p>
      <w:pPr>
        <w:jc w:val="center"/>
        <w:rPr>
          <w:rFonts w:hint="default" w:ascii="宋体" w:hAnsi="宋体" w:eastAsia="宋体" w:cs="Times New Roman"/>
          <w:b/>
          <w:sz w:val="44"/>
          <w:szCs w:val="44"/>
          <w:lang w:val="en-US" w:eastAsia="zh-CN"/>
        </w:rPr>
      </w:pPr>
      <w:r>
        <w:rPr>
          <w:rFonts w:hint="default" w:ascii="宋体" w:hAnsi="宋体" w:eastAsia="宋体" w:cs="Times New Roman"/>
          <w:b/>
          <w:sz w:val="44"/>
          <w:szCs w:val="44"/>
          <w:lang w:val="en-US" w:eastAsia="zh-CN"/>
        </w:rPr>
        <w:t>中共中央办公厅 国务院办公厅印发</w:t>
      </w:r>
    </w:p>
    <w:p>
      <w:pPr>
        <w:jc w:val="center"/>
        <w:rPr>
          <w:rFonts w:hint="default" w:ascii="宋体" w:hAnsi="宋体" w:eastAsia="宋体" w:cs="Times New Roman"/>
          <w:b/>
          <w:sz w:val="44"/>
          <w:szCs w:val="44"/>
          <w:lang w:val="en-US" w:eastAsia="zh-CN"/>
        </w:rPr>
      </w:pPr>
      <w:r>
        <w:rPr>
          <w:rFonts w:hint="default" w:ascii="宋体" w:hAnsi="宋体" w:eastAsia="宋体" w:cs="Times New Roman"/>
          <w:b/>
          <w:sz w:val="44"/>
          <w:szCs w:val="44"/>
          <w:lang w:val="en-US" w:eastAsia="zh-CN"/>
        </w:rPr>
        <w:t>《党政主要负责人履行推进法治建设</w:t>
      </w:r>
    </w:p>
    <w:p>
      <w:pPr>
        <w:jc w:val="center"/>
        <w:rPr>
          <w:rFonts w:hint="default" w:ascii="宋体" w:hAnsi="宋体" w:eastAsia="宋体" w:cs="Times New Roman"/>
          <w:b/>
          <w:sz w:val="44"/>
          <w:szCs w:val="44"/>
          <w:lang w:val="en-US" w:eastAsia="zh-CN"/>
        </w:rPr>
      </w:pPr>
      <w:r>
        <w:rPr>
          <w:rFonts w:hint="default" w:ascii="宋体" w:hAnsi="宋体" w:eastAsia="宋体" w:cs="Times New Roman"/>
          <w:b/>
          <w:sz w:val="44"/>
          <w:szCs w:val="44"/>
          <w:lang w:val="en-US" w:eastAsia="zh-CN"/>
        </w:rPr>
        <w:t>第一责任人职责规定》</w:t>
      </w:r>
    </w:p>
    <w:p>
      <w:pPr>
        <w:keepNext w:val="0"/>
        <w:keepLines w:val="0"/>
        <w:pageBreakBefore w:val="0"/>
        <w:widowControl w:val="0"/>
        <w:kinsoku/>
        <w:wordWrap/>
        <w:overflowPunct/>
        <w:topLinePunct w:val="0"/>
        <w:autoSpaceDE/>
        <w:autoSpaceDN/>
        <w:bidi w:val="0"/>
        <w:adjustRightInd/>
        <w:snapToGrid/>
        <w:ind w:firstLine="420"/>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firstLine="420"/>
        <w:textAlignment w:val="auto"/>
        <w:rPr>
          <w:rFonts w:hint="eastAsia"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《党政主要负责人履行推进法治建设第一责任人职责规定》全文如下。</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微软雅黑" w:hAnsi="微软雅黑" w:eastAsia="微软雅黑" w:cs="微软雅黑"/>
          <w:i w:val="0"/>
          <w:caps w:val="0"/>
          <w:color w:val="333333"/>
          <w:spacing w:val="0"/>
          <w:sz w:val="27"/>
          <w:szCs w:val="27"/>
          <w:shd w:val="clear" w:fill="FFFFFF"/>
        </w:rPr>
        <w:t>　　</w:t>
      </w:r>
      <w:r>
        <w:rPr>
          <w:rFonts w:hint="default" w:ascii="宋体" w:hAnsi="宋体" w:eastAsia="黑体" w:cs="黑体"/>
          <w:b w:val="0"/>
          <w:bCs/>
          <w:color w:val="auto"/>
          <w:kern w:val="2"/>
          <w:sz w:val="32"/>
          <w:szCs w:val="32"/>
          <w:lang w:val="en-US" w:eastAsia="zh-CN" w:bidi="ar-SA"/>
        </w:rPr>
        <w:t>第</w:t>
      </w:r>
      <w:r>
        <w:rPr>
          <w:rFonts w:hint="default" w:ascii="宋体" w:hAnsi="宋体" w:eastAsia="黑体" w:cs="黑体"/>
          <w:b w:val="0"/>
          <w:bCs/>
          <w:color w:val="auto"/>
          <w:kern w:val="2"/>
          <w:sz w:val="32"/>
          <w:szCs w:val="32"/>
          <w:lang w:val="en-US" w:eastAsia="zh-CN" w:bidi="ar-SA"/>
        </w:rPr>
        <w:t>一条</w:t>
      </w: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为贯彻落实党中央关于全面依法治国的部署要求，推动党政主要负责人切实履行推进法治建设第一责任人职责，根据有关党内法规和国家法律法规，制定本规定。</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w:t>
      </w:r>
      <w:r>
        <w:rPr>
          <w:rFonts w:hint="default" w:ascii="宋体" w:hAnsi="宋体" w:eastAsia="黑体" w:cs="黑体"/>
          <w:b w:val="0"/>
          <w:bCs/>
          <w:color w:val="auto"/>
          <w:kern w:val="2"/>
          <w:sz w:val="32"/>
          <w:szCs w:val="32"/>
          <w:lang w:val="en-US" w:eastAsia="zh-CN" w:bidi="ar-SA"/>
        </w:rPr>
        <w:t>第二条</w:t>
      </w: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本规定适用于县级以上地方党委和政府主要负责人。</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w:t>
      </w:r>
      <w:r>
        <w:rPr>
          <w:rFonts w:hint="default" w:ascii="宋体" w:hAnsi="宋体" w:eastAsia="黑体" w:cs="黑体"/>
          <w:b w:val="0"/>
          <w:bCs/>
          <w:color w:val="auto"/>
          <w:kern w:val="2"/>
          <w:sz w:val="32"/>
          <w:szCs w:val="32"/>
          <w:lang w:val="en-US" w:eastAsia="zh-CN" w:bidi="ar-SA"/>
        </w:rPr>
        <w:t>第三条</w:t>
      </w: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党政主要负责人履行推进法治建设第一责任人职责，必须坚持党的领导、人民当家作主、依法治国有机统一；坚持宪法法律至上，反对以言代法、以权压法、徇私枉法；坚持统筹协调，做到依法治国、依法执政、依法行政共同推进，法治国家、法治政府、法治社会一体建设；坚持权责一致，确保有权必有责、有责要担当、失责必追究；坚持以身作则、以上率下，带头尊法学法守法用法。</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w:t>
      </w:r>
      <w:r>
        <w:rPr>
          <w:rFonts w:hint="default" w:ascii="宋体" w:hAnsi="宋体" w:eastAsia="黑体" w:cs="黑体"/>
          <w:b w:val="0"/>
          <w:bCs/>
          <w:color w:val="auto"/>
          <w:kern w:val="2"/>
          <w:sz w:val="32"/>
          <w:szCs w:val="32"/>
          <w:lang w:val="en-US" w:eastAsia="zh-CN" w:bidi="ar-SA"/>
        </w:rPr>
        <w:t>第四条</w:t>
      </w: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党政主要负责人作为推进法治建设第一责任人，应当切实履行依法治国重要组织者、推动者和实践者的职责，贯彻落实党中央关于法治建设的重大决策部署，统筹推进科学立法、严格执法、公正司法、全民守法，自觉运用法治思维和法治方式深化改革、推动发展、化解矛盾、维护稳定，对法治建设重要工作亲自部署、重大问题亲自过问、重点环节亲自协调、重要任务亲自督办，把本地区各项工作纳入法治化轨道。</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w:t>
      </w:r>
      <w:r>
        <w:rPr>
          <w:rFonts w:hint="default" w:ascii="宋体" w:hAnsi="宋体" w:eastAsia="黑体" w:cs="黑体"/>
          <w:b w:val="0"/>
          <w:bCs/>
          <w:color w:val="auto"/>
          <w:kern w:val="2"/>
          <w:sz w:val="32"/>
          <w:szCs w:val="32"/>
          <w:lang w:val="en-US" w:eastAsia="zh-CN" w:bidi="ar-SA"/>
        </w:rPr>
        <w:t>第五条</w:t>
      </w: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党委主要负责人在推进法治建设中应当履行以下主要职责：</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一）充分发挥党委在推进本地区法治建设中的领导核心作用，定期听取有关工作汇报，及时研究解决有关重大问题，将法治建设纳入地区发展总体规划和年度工作计划，与经济社会发展同部署、同推进、同督促、同考核、同奖惩；</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（二）坚持全面从严治党、依规治党，加强党内法规制度建设，提高党内法规制度执行力；</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（三）严格依法依规决策，落实党委法律顾问制度、公职律师制度，加强对党委文件、重大决策的合法合规性审查；</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（四）支持本级人大、政府、政协、法院、检察院依法依章程履行职能、开展工作，督促领导班子其他成员和下级党政主要负责人依法办事，不得违规干预司法活动、插手具体案件处理；</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（五）坚持重视法治素养和法治能力的用人导向，加强法治工作队伍建设和政法机关领导班子建设；</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（六）深入推进法治宣传教育，推动全社会形成浓厚法治氛围。</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w:t>
      </w:r>
      <w:r>
        <w:rPr>
          <w:rFonts w:hint="default" w:ascii="宋体" w:hAnsi="宋体" w:eastAsia="黑体" w:cs="黑体"/>
          <w:b w:val="0"/>
          <w:bCs/>
          <w:color w:val="auto"/>
          <w:kern w:val="2"/>
          <w:sz w:val="32"/>
          <w:szCs w:val="32"/>
          <w:lang w:val="en-US" w:eastAsia="zh-CN" w:bidi="ar-SA"/>
        </w:rPr>
        <w:t>第六条</w:t>
      </w: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政府主要负责人在推进法治建设中应当履行以下主要职责：</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（一）加强对本地区法治政府建设的组织领导，制定工作规划和年度工作计划，及时研究解决法治政府建设有关重大问题，为推进法治建设提供保障、创造条件；</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（二）严格执行重大行政决策法定程序，建立健全政府法律顾问制度、公职律师制度，依法制定规章和规范性文件，全面推进政务公开；</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（三）依法全面履行政府职能，推进行政执法责任制落实，推动严格规范公正文明执法；</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（四）督促领导班子其他成员和政府部门主要负责人依法行政，推动完善政府内部层级监督和专门监督，纠正行政不作为、乱作为；</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（五）自觉维护司法权威，认真落实行政机关出庭应诉、支持法院受理行政案件、尊重并执行法院生效裁判的制度；</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（六）完善行政机关工作人员学法用法制度，组织实施普法规划，推动落实“谁执法谁普法”责任。</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w:t>
      </w:r>
      <w:r>
        <w:rPr>
          <w:rFonts w:hint="default" w:ascii="宋体" w:hAnsi="宋体" w:eastAsia="黑体" w:cs="黑体"/>
          <w:b w:val="0"/>
          <w:bCs/>
          <w:color w:val="auto"/>
          <w:kern w:val="2"/>
          <w:sz w:val="32"/>
          <w:szCs w:val="32"/>
          <w:lang w:val="en-US" w:eastAsia="zh-CN" w:bidi="ar-SA"/>
        </w:rPr>
        <w:t>第七条</w:t>
      </w: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党政主要负责人应当将履行推进法治建设第一责任人职责情况列入年终述职内容，上级党委应当对下级党政主要负责人履行推进法治建设第一责任人职责情况开展定期检查、专项督查。</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w:t>
      </w:r>
      <w:r>
        <w:rPr>
          <w:rFonts w:hint="default" w:ascii="宋体" w:hAnsi="宋体" w:eastAsia="黑体" w:cs="黑体"/>
          <w:b w:val="0"/>
          <w:bCs/>
          <w:color w:val="auto"/>
          <w:kern w:val="2"/>
          <w:sz w:val="32"/>
          <w:szCs w:val="32"/>
          <w:lang w:val="en-US" w:eastAsia="zh-CN" w:bidi="ar-SA"/>
        </w:rPr>
        <w:t>第八条</w:t>
      </w: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上级党委应当将下级党政主要负责人履行推进法治建设第一责任人职责情况纳入政绩考核指标体系，作为考察使用干部、推进干部能上能下的重要依据。</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w:t>
      </w:r>
      <w:r>
        <w:rPr>
          <w:rFonts w:hint="default" w:ascii="宋体" w:hAnsi="宋体" w:eastAsia="黑体" w:cs="黑体"/>
          <w:b w:val="0"/>
          <w:bCs/>
          <w:color w:val="auto"/>
          <w:kern w:val="2"/>
          <w:sz w:val="32"/>
          <w:szCs w:val="32"/>
          <w:lang w:val="en-US" w:eastAsia="zh-CN" w:bidi="ar-SA"/>
        </w:rPr>
        <w:t>第九条</w:t>
      </w: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党政主要负责人不履行或者不正确履行推进法治建设第一责任人职责的，应当依照《中国共产党问责条例》等有关党内法规和国家法律法规予以问责。</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w:t>
      </w:r>
      <w:r>
        <w:rPr>
          <w:rFonts w:hint="default" w:ascii="宋体" w:hAnsi="宋体" w:eastAsia="黑体" w:cs="黑体"/>
          <w:b w:val="0"/>
          <w:bCs/>
          <w:color w:val="auto"/>
          <w:kern w:val="2"/>
          <w:sz w:val="32"/>
          <w:szCs w:val="32"/>
          <w:lang w:val="en-US" w:eastAsia="zh-CN" w:bidi="ar-SA"/>
        </w:rPr>
        <w:t>第十条</w:t>
      </w: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中共中央、国务院工作部门的主要负责人，县级以上地方党委和政府工作部门的主要负责人，乡（镇、街道）党政主要负责人，参照本规定执行。</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w:t>
      </w:r>
      <w:r>
        <w:rPr>
          <w:rFonts w:hint="default" w:ascii="宋体" w:hAnsi="宋体" w:eastAsia="黑体" w:cs="黑体"/>
          <w:b w:val="0"/>
          <w:bCs/>
          <w:color w:val="auto"/>
          <w:kern w:val="2"/>
          <w:sz w:val="32"/>
          <w:szCs w:val="32"/>
          <w:lang w:val="en-US" w:eastAsia="zh-CN" w:bidi="ar-SA"/>
        </w:rPr>
        <w:t>第十一条</w:t>
      </w: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本规定由中央办公厅、国务院办公厅负责解释。</w:t>
      </w:r>
    </w:p>
    <w:p>
      <w:pPr>
        <w:keepNext w:val="0"/>
        <w:keepLines w:val="0"/>
        <w:pageBreakBefore w:val="0"/>
        <w:widowControl w:val="0"/>
        <w:kinsoku/>
        <w:wordWrap/>
        <w:overflowPunct/>
        <w:topLinePunct w:val="0"/>
        <w:autoSpaceDE/>
        <w:autoSpaceDN/>
        <w:bidi w:val="0"/>
        <w:adjustRightInd/>
        <w:snapToGrid/>
        <w:textAlignment w:val="auto"/>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w:t>
      </w:r>
      <w:bookmarkStart w:id="0" w:name="_GoBack"/>
      <w:r>
        <w:rPr>
          <w:rFonts w:hint="default" w:ascii="宋体" w:hAnsi="宋体" w:eastAsia="黑体" w:cs="黑体"/>
          <w:b w:val="0"/>
          <w:bCs/>
          <w:color w:val="auto"/>
          <w:kern w:val="2"/>
          <w:sz w:val="32"/>
          <w:szCs w:val="32"/>
          <w:lang w:val="en-US" w:eastAsia="zh-CN" w:bidi="ar-SA"/>
        </w:rPr>
        <w:t>第十二条</w:t>
      </w:r>
      <w:bookmarkEnd w:id="0"/>
      <w:r>
        <w:rPr>
          <w:rFonts w:hint="default"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t>　本规定自2016年11月30日起施行。</w:t>
      </w:r>
    </w:p>
    <w:p>
      <w:pPr>
        <w:keepNext w:val="0"/>
        <w:keepLines w:val="0"/>
        <w:pageBreakBefore w:val="0"/>
        <w:widowControl w:val="0"/>
        <w:kinsoku/>
        <w:wordWrap/>
        <w:overflowPunct/>
        <w:topLinePunct w:val="0"/>
        <w:autoSpaceDE/>
        <w:autoSpaceDN/>
        <w:bidi w:val="0"/>
        <w:adjustRightInd/>
        <w:snapToGrid/>
        <w:textAlignment w:val="auto"/>
        <w:rPr>
          <w:rFonts w:hint="eastAsia" w:ascii="华文仿宋" w:hAnsi="华文仿宋" w:eastAsia="华文仿宋" w:cs="华文仿宋"/>
          <w:i w:val="0"/>
          <w:caps w:val="0"/>
          <w:color w:val="000000" w:themeColor="text1"/>
          <w:spacing w:val="0"/>
          <w:kern w:val="0"/>
          <w:sz w:val="32"/>
          <w:szCs w:val="32"/>
          <w:lang w:val="en-US" w:eastAsia="zh-CN" w:bidi="ar"/>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方正黑体_GBK"/>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altName w:val="方正仿宋_GBK"/>
    <w:panose1 w:val="02010609030101010101"/>
    <w:charset w:val="86"/>
    <w:family w:val="auto"/>
    <w:pitch w:val="default"/>
    <w:sig w:usb0="00000000" w:usb1="00000000" w:usb2="00000000" w:usb3="00000000" w:csb0="00040000" w:csb1="00000000"/>
  </w:font>
  <w:font w:name="Tahoma">
    <w:altName w:val="DejaVu Sans"/>
    <w:panose1 w:val="020B0604030504040204"/>
    <w:charset w:val="00"/>
    <w:family w:val="auto"/>
    <w:pitch w:val="default"/>
    <w:sig w:usb0="00000000" w:usb1="00000000" w:usb2="00000008" w:usb3="00000000" w:csb0="200101FF" w:csb1="20280000"/>
  </w:font>
  <w:font w:name="Cambria">
    <w:altName w:val="Noto Sans Syriac Eastern"/>
    <w:panose1 w:val="02040503050406030204"/>
    <w:charset w:val="00"/>
    <w:family w:val="roman"/>
    <w:pitch w:val="default"/>
    <w:sig w:usb0="00000000" w:usb1="00000000" w:usb2="00000000" w:usb3="00000000" w:csb0="2000009F" w:csb1="00000000"/>
  </w:font>
  <w:font w:name="方正仿宋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华文仿宋">
    <w:altName w:val="汉仪仿宋简"/>
    <w:panose1 w:val="02010600040101010101"/>
    <w:charset w:val="86"/>
    <w:family w:val="auto"/>
    <w:pitch w:val="default"/>
    <w:sig w:usb0="00000000" w:usb1="00000000" w:usb2="00000000" w:usb3="00000000" w:csb0="0004009F" w:csb1="DFD70000"/>
  </w:font>
  <w:font w:name="汉仪仿宋简">
    <w:panose1 w:val="02010600000101010101"/>
    <w:charset w:val="86"/>
    <w:family w:val="auto"/>
    <w:pitch w:val="default"/>
    <w:sig w:usb0="00000001" w:usb1="080E0800" w:usb2="00000002"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59B793"/>
    <w:rsid w:val="4F5D14C5"/>
    <w:rsid w:val="5FFB0BCD"/>
    <w:rsid w:val="71CFB13A"/>
    <w:rsid w:val="739DC937"/>
    <w:rsid w:val="7D59B793"/>
    <w:rsid w:val="7FEBC126"/>
    <w:rsid w:val="7FEE5713"/>
    <w:rsid w:val="FC7B8C0D"/>
    <w:rsid w:val="FDFBC478"/>
    <w:rsid w:val="FF74708B"/>
    <w:rsid w:val="FFEF1683"/>
    <w:rsid w:val="FFFA0958"/>
    <w:rsid w:val="FFFF2E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4">
    <w:name w:val="heading 2"/>
    <w:basedOn w:val="1"/>
    <w:next w:val="1"/>
    <w:unhideWhenUsed/>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rFonts w:ascii="Calibri" w:hAnsi="Calibri" w:eastAsia="宋体"/>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2024-04-09T17:32:00Z</dcterms:created>
  <dc:creator>user</dc:creator>
  <cp:lastModifiedBy>user</cp:lastModifiedBy>
  <dcterms:modified xsi:type="dcterms:W3CDTF">2024-04-10T11:12:40Z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ies>
</file>