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江门市市场监督管理局协助开展商事制度便利化改革服务项目合同</w:t>
      </w:r>
    </w:p>
    <w:p>
      <w:pPr>
        <w:pStyle w:val="2"/>
        <w:rPr>
          <w:highlight w:val="none"/>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w:t>
      </w:r>
      <w:r>
        <w:rPr>
          <w:rFonts w:hint="eastAsia" w:ascii="仿宋" w:hAnsi="仿宋" w:eastAsia="仿宋" w:cs="仿宋"/>
          <w:color w:val="000000"/>
          <w:sz w:val="28"/>
          <w:szCs w:val="28"/>
          <w:highlight w:val="none"/>
          <w:u w:val="single"/>
          <w:lang w:eastAsia="zh-CN"/>
        </w:rPr>
        <w:t>二</w:t>
      </w:r>
      <w:r>
        <w:rPr>
          <w:rFonts w:hint="eastAsia" w:ascii="仿宋" w:hAnsi="仿宋" w:eastAsia="仿宋" w:cs="仿宋"/>
          <w:color w:val="000000"/>
          <w:sz w:val="28"/>
          <w:szCs w:val="28"/>
          <w:highlight w:val="none"/>
          <w:u w:val="single"/>
        </w:rPr>
        <w:t>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bookmarkStart w:id="0" w:name="_GoBack"/>
      <w:bookmarkEnd w:id="0"/>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江门市市场监督管理局协助开展商事制度便利化改革服务项目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如下</w:t>
      </w:r>
      <w:r>
        <w:rPr>
          <w:rFonts w:hint="eastAsia" w:ascii="仿宋" w:hAnsi="仿宋" w:eastAsia="仿宋" w:cs="仿宋"/>
          <w:color w:val="000000"/>
          <w:sz w:val="28"/>
          <w:szCs w:val="28"/>
          <w:highlight w:val="none"/>
        </w:rPr>
        <w:t xml:space="preserve">： </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甲方委托乙方就江门市市场监督管理局协助开展商事制度便利化改革服务项目提供项目服务，具体服务内容及要求如下：</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1.协助提供业务咨询。通过窗口、网上（含12345转办办件）、电话等途径为申请人提供“多证合一”以及市场主体登记、食品生产经营许可或备案等业务咨询、导办服务。项目实施期间提供咨询服务约8500宗。</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2.协助业务办理</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1）业务材料接收和扫描、信息录入。接收申请人提交的申请材料，整理后将资料进行扫描、录入业务系统，并通过业务系统推送业务。同时，为申请人提供业务指导、帮办代办服务，解决申报难、操作不熟练等问题。项目实施期间提供办理相关政务服务业务约5000宗。</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（2）协助制发证照。跟踪业务办理情况，按照审批决定协助统一制发证照，项目实施期间制发证照约3000套。</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（3）业务材料整理。对申请、审核材料进行整理、排序、打码、制作封面等形成档案，并按要求移交档案室归档。项目实施期间整理、归档的业务材料约3000宗。</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3.协助归集审批情况。及时提供各类市场主体登记数据共享和查询服务。项目实施期间预估审批信息归集和查询数据约400万条。</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4.协助数据统计、比对与录入</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（1）协助收集统计整理全市160个监管部门“双随机、一公开”年度抽查计划及抽查清单。</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（2）协助对江门市市场智慧监管综合管理平台“一单两库”数据进行比对，并做好抽查数据统计分析，为系统动态更新提供精准数据。</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（3）面向全市约75万户市场主体提供公示信息“双随机、一公开”抽查和信用修复的咨询、收集申请资料等服务，并协助录入系统。</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第二条  </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期限、项目费用及支付方式</w:t>
      </w:r>
    </w:p>
    <w:p>
      <w:pPr>
        <w:keepNext w:val="0"/>
        <w:keepLines w:val="0"/>
        <w:pageBreakBefore w:val="0"/>
        <w:numPr>
          <w:ilvl w:val="0"/>
          <w:numId w:val="1"/>
        </w:numPr>
        <w:kinsoku/>
        <w:wordWrap/>
        <w:overflowPunct/>
        <w:topLinePunct w:val="0"/>
        <w:autoSpaceDE/>
        <w:autoSpaceDN/>
        <w:bidi w:val="0"/>
        <w:adjustRightInd/>
        <w:snapToGrid/>
        <w:spacing w:line="480" w:lineRule="exact"/>
        <w:ind w:left="0" w:firstLine="560" w:firstLineChars="200"/>
        <w:textAlignment w:val="auto"/>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期限为</w:t>
      </w:r>
      <w:r>
        <w:rPr>
          <w:rFonts w:hint="eastAsia" w:ascii="仿宋" w:hAnsi="仿宋" w:eastAsia="仿宋" w:cs="仿宋"/>
          <w:color w:val="000000"/>
          <w:sz w:val="28"/>
          <w:szCs w:val="28"/>
          <w:highlight w:val="none"/>
          <w:u w:val="single"/>
          <w:lang w:val="en-US" w:eastAsia="zh-CN"/>
        </w:rPr>
        <w:t>一</w:t>
      </w:r>
      <w:r>
        <w:rPr>
          <w:rFonts w:hint="eastAsia" w:ascii="仿宋" w:hAnsi="仿宋" w:eastAsia="仿宋" w:cs="仿宋"/>
          <w:color w:val="000000"/>
          <w:sz w:val="28"/>
          <w:szCs w:val="28"/>
          <w:highlight w:val="none"/>
          <w:u w:val="single"/>
          <w:lang w:eastAsia="zh-CN"/>
        </w:rPr>
        <w:t>年</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自本</w:t>
      </w:r>
      <w:r>
        <w:rPr>
          <w:rFonts w:hint="eastAsia" w:ascii="仿宋" w:hAnsi="仿宋" w:eastAsia="仿宋" w:cs="仿宋"/>
          <w:color w:val="000000"/>
          <w:sz w:val="28"/>
          <w:szCs w:val="28"/>
          <w:highlight w:val="none"/>
          <w:u w:val="single"/>
          <w:lang w:eastAsia="zh-CN"/>
        </w:rPr>
        <w:t>合同</w:t>
      </w:r>
      <w:r>
        <w:rPr>
          <w:rFonts w:hint="eastAsia" w:ascii="仿宋" w:hAnsi="仿宋" w:eastAsia="仿宋" w:cs="仿宋"/>
          <w:color w:val="000000"/>
          <w:sz w:val="28"/>
          <w:szCs w:val="28"/>
          <w:highlight w:val="none"/>
          <w:u w:val="single"/>
        </w:rPr>
        <w:t>签署之日起算。</w:t>
      </w:r>
    </w:p>
    <w:p>
      <w:pPr>
        <w:keepNext w:val="0"/>
        <w:keepLines w:val="0"/>
        <w:pageBreakBefore w:val="0"/>
        <w:numPr>
          <w:ilvl w:val="0"/>
          <w:numId w:val="1"/>
        </w:numPr>
        <w:kinsoku/>
        <w:wordWrap/>
        <w:overflowPunct/>
        <w:topLinePunct w:val="0"/>
        <w:autoSpaceDE/>
        <w:autoSpaceDN/>
        <w:bidi w:val="0"/>
        <w:adjustRightInd/>
        <w:snapToGrid/>
        <w:spacing w:line="480" w:lineRule="exact"/>
        <w:ind w:left="0" w:firstLine="560" w:firstLineChars="200"/>
        <w:textAlignment w:val="auto"/>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人民币XX元整（¥XX.00元）</w:t>
      </w:r>
      <w:r>
        <w:rPr>
          <w:rFonts w:hint="eastAsia" w:ascii="仿宋" w:hAnsi="仿宋" w:eastAsia="仿宋" w:cs="仿宋"/>
          <w:bCs/>
          <w:color w:val="666666"/>
          <w:sz w:val="28"/>
          <w:szCs w:val="28"/>
          <w:highlight w:val="none"/>
          <w:shd w:val="clear" w:color="auto" w:fill="FFFFFF"/>
        </w:rPr>
        <w:t>。</w:t>
      </w:r>
    </w:p>
    <w:p>
      <w:pPr>
        <w:keepNext w:val="0"/>
        <w:keepLines w:val="0"/>
        <w:pageBreakBefore w:val="0"/>
        <w:numPr>
          <w:ilvl w:val="0"/>
          <w:numId w:val="1"/>
        </w:numPr>
        <w:kinsoku/>
        <w:wordWrap/>
        <w:overflowPunct/>
        <w:topLinePunct w:val="0"/>
        <w:autoSpaceDE/>
        <w:autoSpaceDN/>
        <w:bidi w:val="0"/>
        <w:adjustRightInd/>
        <w:snapToGrid/>
        <w:spacing w:line="480" w:lineRule="exact"/>
        <w:ind w:left="0" w:firstLine="560" w:firstLineChars="200"/>
        <w:textAlignment w:val="auto"/>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双方签署合同后，甲方分两期支付相应的款项给乙方：</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1.第一期：支付比例 X%，本合同签订生效后，甲方自收到乙方开具的合法有效的发票之日起30个工作日内，甲方支付项目总费用的X%给乙方，即人民币整（元）；</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2.第二期：支付比例X%，2024年6月底前，甲方支付项目总费用的X%给乙方，即人民币整（元）。</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pStyle w:val="2"/>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 甲方支付以乙方无违约为前提，若乙方违约，甲方有权在应付款中做相应扣除。</w:t>
      </w:r>
    </w:p>
    <w:p>
      <w:pPr>
        <w:keepNext w:val="0"/>
        <w:keepLines w:val="0"/>
        <w:pageBreakBefore w:val="0"/>
        <w:numPr>
          <w:ilvl w:val="0"/>
          <w:numId w:val="1"/>
        </w:numPr>
        <w:kinsoku/>
        <w:wordWrap/>
        <w:overflowPunct/>
        <w:topLinePunct w:val="0"/>
        <w:autoSpaceDE/>
        <w:autoSpaceDN/>
        <w:bidi w:val="0"/>
        <w:adjustRightInd/>
        <w:snapToGrid/>
        <w:spacing w:line="480" w:lineRule="exact"/>
        <w:ind w:left="0"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5"/>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5"/>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5"/>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keepNext w:val="0"/>
        <w:keepLines w:val="0"/>
        <w:pageBreakBefore w:val="0"/>
        <w:kinsoku/>
        <w:wordWrap/>
        <w:overflowPunct/>
        <w:topLinePunct w:val="0"/>
        <w:bidi w:val="0"/>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keepNext w:val="0"/>
        <w:keepLines w:val="0"/>
        <w:pageBreakBefore w:val="0"/>
        <w:numPr>
          <w:ilvl w:val="0"/>
          <w:numId w:val="2"/>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 15 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keepNext w:val="0"/>
        <w:keepLines w:val="0"/>
        <w:pageBreakBefore w:val="0"/>
        <w:numPr>
          <w:ilvl w:val="0"/>
          <w:numId w:val="2"/>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keepNext w:val="0"/>
        <w:keepLines w:val="0"/>
        <w:pageBreakBefore w:val="0"/>
        <w:numPr>
          <w:ilvl w:val="0"/>
          <w:numId w:val="2"/>
        </w:numPr>
        <w:kinsoku/>
        <w:wordWrap/>
        <w:overflowPunct/>
        <w:topLinePunct w:val="0"/>
        <w:bidi w:val="0"/>
        <w:spacing w:line="48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经甲方验收不合格的，乙方应在甲方指定期限内采取弥补措施并再次提交给甲方验收；验收合格后由甲方和乙方共同签字确认作为结算的依据。</w:t>
      </w:r>
    </w:p>
    <w:p>
      <w:pPr>
        <w:pStyle w:val="2"/>
        <w:keepNext w:val="0"/>
        <w:keepLines w:val="0"/>
        <w:pageBreakBefore w:val="0"/>
        <w:kinsoku/>
        <w:wordWrap/>
        <w:overflowPunct/>
        <w:topLinePunct w:val="0"/>
        <w:bidi w:val="0"/>
        <w:spacing w:line="480" w:lineRule="exact"/>
        <w:rPr>
          <w:rFonts w:hint="eastAsia" w:eastAsia="仿宋"/>
          <w:highlight w:val="none"/>
          <w:lang w:eastAsia="zh-CN"/>
        </w:rPr>
      </w:pPr>
      <w:r>
        <w:rPr>
          <w:rFonts w:hint="eastAsia" w:ascii="仿宋" w:hAnsi="仿宋" w:eastAsia="仿宋" w:cs="仿宋"/>
          <w:bCs/>
          <w:sz w:val="28"/>
          <w:szCs w:val="28"/>
          <w:highlight w:val="none"/>
          <w:lang w:eastAsia="zh-CN"/>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keepNext w:val="0"/>
        <w:keepLines w:val="0"/>
        <w:pageBreakBefore w:val="0"/>
        <w:numPr>
          <w:ilvl w:val="0"/>
          <w:numId w:val="3"/>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keepNext w:val="0"/>
        <w:keepLines w:val="0"/>
        <w:pageBreakBefore w:val="0"/>
        <w:numPr>
          <w:ilvl w:val="0"/>
          <w:numId w:val="3"/>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keepNext w:val="0"/>
        <w:keepLines w:val="0"/>
        <w:pageBreakBefore w:val="0"/>
        <w:numPr>
          <w:ilvl w:val="0"/>
          <w:numId w:val="3"/>
        </w:numPr>
        <w:kinsoku/>
        <w:wordWrap/>
        <w:overflowPunct/>
        <w:topLinePunct w:val="0"/>
        <w:bidi w:val="0"/>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keepNext w:val="0"/>
        <w:keepLines w:val="0"/>
        <w:pageBreakBefore w:val="0"/>
        <w:numPr>
          <w:ilvl w:val="0"/>
          <w:numId w:val="3"/>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keepNext w:val="0"/>
        <w:keepLines w:val="0"/>
        <w:pageBreakBefore w:val="0"/>
        <w:numPr>
          <w:ilvl w:val="0"/>
          <w:numId w:val="3"/>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约定向乙方支付项目费用。</w:t>
      </w:r>
    </w:p>
    <w:p>
      <w:pPr>
        <w:keepNext w:val="0"/>
        <w:keepLines w:val="0"/>
        <w:pageBreakBefore w:val="0"/>
        <w:numPr>
          <w:ilvl w:val="0"/>
          <w:numId w:val="3"/>
        </w:numPr>
        <w:kinsoku/>
        <w:wordWrap/>
        <w:overflowPunct/>
        <w:topLinePunct w:val="0"/>
        <w:bidi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keepNext w:val="0"/>
        <w:keepLines w:val="0"/>
        <w:pageBreakBefore w:val="0"/>
        <w:numPr>
          <w:ilvl w:val="0"/>
          <w:numId w:val="4"/>
        </w:numPr>
        <w:kinsoku/>
        <w:wordWrap/>
        <w:overflowPunct/>
        <w:topLinePunct w:val="0"/>
        <w:bidi w:val="0"/>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highlight w:val="none"/>
        </w:rPr>
        <w:t>。</w:t>
      </w:r>
    </w:p>
    <w:p>
      <w:pPr>
        <w:keepNext w:val="0"/>
        <w:keepLines w:val="0"/>
        <w:pageBreakBefore w:val="0"/>
        <w:numPr>
          <w:ilvl w:val="0"/>
          <w:numId w:val="4"/>
        </w:numPr>
        <w:kinsoku/>
        <w:wordWrap/>
        <w:overflowPunct/>
        <w:topLinePunct w:val="0"/>
        <w:bidi w:val="0"/>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p>
    <w:p>
      <w:pPr>
        <w:keepNext w:val="0"/>
        <w:keepLines w:val="0"/>
        <w:pageBreakBefore w:val="0"/>
        <w:numPr>
          <w:ilvl w:val="0"/>
          <w:numId w:val="4"/>
        </w:numPr>
        <w:kinsoku/>
        <w:wordWrap/>
        <w:overflowPunct/>
        <w:topLinePunct w:val="0"/>
        <w:bidi w:val="0"/>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pStyle w:val="2"/>
        <w:keepNext w:val="0"/>
        <w:keepLines w:val="0"/>
        <w:pageBreakBefore w:val="0"/>
        <w:kinsoku/>
        <w:wordWrap/>
        <w:overflowPunct/>
        <w:topLinePunct w:val="0"/>
        <w:bidi w:val="0"/>
        <w:spacing w:line="480" w:lineRule="exact"/>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四）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keepNext w:val="0"/>
        <w:keepLines w:val="0"/>
        <w:pageBreakBefore w:val="0"/>
        <w:kinsoku/>
        <w:wordWrap/>
        <w:overflowPunct/>
        <w:topLinePunct w:val="0"/>
        <w:bidi w:val="0"/>
        <w:spacing w:line="480" w:lineRule="exact"/>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（五）除第三人依法享有知识产权的除外，乙方实施本项目所形成成果的知识产权归甲方所有，未经甲方事先书面许可乙方不得为本合同之外的任何目的、以任何形式自行使用或擅自许可任何第三方使用。</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keepNext w:val="0"/>
        <w:keepLines w:val="0"/>
        <w:pageBreakBefore w:val="0"/>
        <w:numPr>
          <w:ilvl w:val="0"/>
          <w:numId w:val="5"/>
        </w:numPr>
        <w:kinsoku/>
        <w:wordWrap/>
        <w:overflowPunct/>
        <w:topLinePunct w:val="0"/>
        <w:bidi w:val="0"/>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不可抗力</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（二）受到不可抗力影响的一方，应尽可能地采取合理的行为和适当的措施减轻不可抗力对本合同的履行所造成的影响。没有采取适当措施致使损失扩大的，该方不得就扩大损失的部分要求免责或赔偿。</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违约责任</w:t>
      </w:r>
    </w:p>
    <w:p>
      <w:pPr>
        <w:keepNext w:val="0"/>
        <w:keepLines w:val="0"/>
        <w:pageBreakBefore w:val="0"/>
        <w:numPr>
          <w:ilvl w:val="0"/>
          <w:numId w:val="6"/>
        </w:numPr>
        <w:kinsoku/>
        <w:wordWrap/>
        <w:overflowPunct/>
        <w:topLinePunct w:val="0"/>
        <w:bidi w:val="0"/>
        <w:spacing w:line="480" w:lineRule="exact"/>
        <w:ind w:left="0" w:firstLine="420"/>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甲方未按本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约定向乙方支付款项的，乙方有权要求甲方按照逾期支付款项的日万分之一向乙方支付违约金，但因乙方自身原因造成的除外。</w:t>
      </w:r>
    </w:p>
    <w:p>
      <w:pPr>
        <w:keepNext w:val="0"/>
        <w:keepLines w:val="0"/>
        <w:pageBreakBefore w:val="0"/>
        <w:numPr>
          <w:ilvl w:val="0"/>
          <w:numId w:val="6"/>
        </w:numPr>
        <w:kinsoku/>
        <w:wordWrap/>
        <w:overflowPunct/>
        <w:topLinePunct w:val="0"/>
        <w:bidi w:val="0"/>
        <w:spacing w:line="480" w:lineRule="exact"/>
        <w:ind w:left="0" w:firstLine="420"/>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1.乙方未按照合同约定及时提交项目成果性文件或逾期完成项目工作的，从逾期之日起，甲方有权要求乙方按本项目技术服务总费用的日千分之一向甲方支付违约金直到乙方提交或者完成之日止。</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（1）乙方逾期提交项目成果性文件或者逾期完成项目工作超过15日以上的；</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（2）乙方因自身原因不能提供服务（不包括本条第1点的情形）或提供的服务质量不符合本合同约定以及相关法律法规规定的，甲方有权拒收；</w:t>
      </w:r>
    </w:p>
    <w:p>
      <w:pPr>
        <w:pStyle w:val="2"/>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（3）未经甲方同意，乙方将本合同项目部分或全部技术服务工作转让第三人负责的。</w:t>
      </w:r>
    </w:p>
    <w:p>
      <w:pPr>
        <w:keepNext w:val="0"/>
        <w:keepLines w:val="0"/>
        <w:pageBreakBefore w:val="0"/>
        <w:kinsoku/>
        <w:wordWrap/>
        <w:overflowPunct/>
        <w:topLinePunct w:val="0"/>
        <w:bidi w:val="0"/>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第九条  双方确定，出现下列情形，致使本</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的履行成为不必要或不能的，可以解除本</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w:t>
      </w:r>
    </w:p>
    <w:p>
      <w:pPr>
        <w:keepNext w:val="0"/>
        <w:keepLines w:val="0"/>
        <w:pageBreakBefore w:val="0"/>
        <w:numPr>
          <w:ilvl w:val="0"/>
          <w:numId w:val="7"/>
        </w:numPr>
        <w:kinsoku/>
        <w:wordWrap/>
        <w:overflowPunct/>
        <w:topLinePunct w:val="0"/>
        <w:bidi w:val="0"/>
        <w:spacing w:line="480" w:lineRule="exact"/>
        <w:ind w:left="0" w:firstLine="420"/>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keepNext w:val="0"/>
        <w:keepLines w:val="0"/>
        <w:pageBreakBefore w:val="0"/>
        <w:numPr>
          <w:ilvl w:val="0"/>
          <w:numId w:val="7"/>
        </w:numPr>
        <w:kinsoku/>
        <w:wordWrap/>
        <w:overflowPunct/>
        <w:topLinePunct w:val="0"/>
        <w:bidi w:val="0"/>
        <w:spacing w:line="480" w:lineRule="exact"/>
        <w:ind w:left="0" w:firstLine="420"/>
        <w:rPr>
          <w:rFonts w:ascii="仿宋" w:hAnsi="仿宋" w:eastAsia="仿宋" w:cs="仿宋"/>
          <w:sz w:val="28"/>
          <w:szCs w:val="28"/>
          <w:highlight w:val="none"/>
        </w:rPr>
      </w:pPr>
      <w:r>
        <w:rPr>
          <w:rFonts w:hint="eastAsia" w:ascii="仿宋" w:hAnsi="仿宋" w:eastAsia="仿宋" w:cs="仿宋"/>
          <w:sz w:val="28"/>
          <w:szCs w:val="28"/>
          <w:highlight w:val="none"/>
        </w:rPr>
        <w:t>因一方违约使</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不能继续履行或没有必要继续履行。</w:t>
      </w:r>
    </w:p>
    <w:p>
      <w:pPr>
        <w:keepNext w:val="0"/>
        <w:keepLines w:val="0"/>
        <w:pageBreakBefore w:val="0"/>
        <w:numPr>
          <w:ilvl w:val="0"/>
          <w:numId w:val="7"/>
        </w:numPr>
        <w:kinsoku/>
        <w:wordWrap/>
        <w:overflowPunct/>
        <w:topLinePunct w:val="0"/>
        <w:bidi w:val="0"/>
        <w:spacing w:line="480" w:lineRule="exact"/>
        <w:ind w:left="0" w:firstLine="420"/>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不能继续履行。</w:t>
      </w:r>
    </w:p>
    <w:p>
      <w:pPr>
        <w:keepNext w:val="0"/>
        <w:keepLines w:val="0"/>
        <w:pageBreakBefore w:val="0"/>
        <w:kinsoku/>
        <w:wordWrap/>
        <w:overflowPunct/>
        <w:topLinePunct w:val="0"/>
        <w:bidi w:val="0"/>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第十条  争议的解决办法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其他</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（一）合同如有未尽事宜，可以经甲、乙双方另行协商形成书面补充协议，书面补充协议经双方签字、盖章后生效。</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（二）甲、乙双方在本合同项下的地址和联系方式为文件有效的送达地址，对方的文件、司法机关的文件一经到达或退回即视为送达；一方如有变更，应在变更前3日内通知对方，否则，视为未变更。</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（三）本合同一式肆份，自甲、乙双方签字盖章后生效，甲方执叁份、乙方执壹份，具有同等法律效力。</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（四）以下为本合同附件，与本合同具有同等效力：</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hint="eastAsia" w:ascii="仿宋" w:hAnsi="仿宋" w:eastAsia="仿宋" w:cs="仿宋"/>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Cs w:val="28"/>
          <w:highlight w:val="none"/>
        </w:rPr>
        <w:t>江门市市场监督管理局协助开展商事制度便利化改革服务项目采购公告；</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ascii="仿宋" w:hAnsi="仿宋" w:eastAsia="仿宋" w:cs="仿宋"/>
          <w:szCs w:val="28"/>
          <w:highlight w:val="none"/>
        </w:rPr>
      </w:pP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江门市市场监督管理局相关项目采购结果公告；</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608" w:firstLineChars="200"/>
        <w:textAlignment w:val="baseline"/>
        <w:rPr>
          <w:rFonts w:ascii="仿宋" w:hAnsi="仿宋" w:eastAsia="仿宋" w:cs="仿宋"/>
          <w:szCs w:val="28"/>
          <w:highlight w:val="none"/>
        </w:rPr>
      </w:pPr>
      <w:r>
        <w:rPr>
          <w:rFonts w:hint="eastAsia" w:ascii="仿宋" w:hAnsi="仿宋" w:eastAsia="仿宋" w:cs="仿宋"/>
          <w:szCs w:val="28"/>
          <w:highlight w:val="none"/>
          <w:lang w:val="en-US" w:eastAsia="zh-CN"/>
        </w:rPr>
        <w:t>3.</w:t>
      </w:r>
      <w:r>
        <w:rPr>
          <w:rFonts w:hint="eastAsia" w:ascii="仿宋" w:hAnsi="仿宋" w:eastAsia="仿宋" w:cs="仿宋"/>
          <w:szCs w:val="28"/>
          <w:highlight w:val="none"/>
        </w:rPr>
        <w:t>其他附件及补充协议等资料。</w:t>
      </w:r>
    </w:p>
    <w:p>
      <w:pPr>
        <w:keepNext w:val="0"/>
        <w:keepLines w:val="0"/>
        <w:pageBreakBefore w:val="0"/>
        <w:kinsoku/>
        <w:wordWrap/>
        <w:overflowPunct/>
        <w:topLinePunct w:val="0"/>
        <w:bidi w:val="0"/>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6"/>
        <w:ind w:firstLine="608"/>
        <w:rPr>
          <w:rFonts w:ascii="仿宋" w:hAnsi="仿宋" w:eastAsia="仿宋" w:cs="仿宋"/>
          <w:szCs w:val="28"/>
          <w:highlight w:val="none"/>
        </w:rPr>
      </w:pPr>
    </w:p>
    <w:p>
      <w:pPr>
        <w:spacing w:line="480" w:lineRule="exact"/>
        <w:ind w:firstLine="562" w:firstLineChars="200"/>
        <w:rPr>
          <w:rFonts w:hint="eastAsia" w:ascii="仿宋" w:hAnsi="仿宋" w:eastAsia="仿宋" w:cs="仿宋"/>
          <w:b/>
          <w:bCs/>
          <w:sz w:val="28"/>
          <w:szCs w:val="28"/>
          <w:highlight w:val="none"/>
        </w:rPr>
      </w:pPr>
    </w:p>
    <w:p>
      <w:pPr>
        <w:spacing w:line="480" w:lineRule="exact"/>
        <w:ind w:firstLine="562" w:firstLineChars="200"/>
        <w:rPr>
          <w:rFonts w:hint="eastAsia" w:ascii="仿宋" w:hAnsi="仿宋" w:eastAsia="仿宋" w:cs="仿宋"/>
          <w:b/>
          <w:bCs/>
          <w:sz w:val="28"/>
          <w:szCs w:val="28"/>
          <w:highlight w:val="none"/>
        </w:rPr>
      </w:pPr>
    </w:p>
    <w:p>
      <w:pPr>
        <w:spacing w:line="480" w:lineRule="exact"/>
        <w:ind w:firstLine="562" w:firstLineChars="200"/>
        <w:rPr>
          <w:rFonts w:hint="eastAsia" w:ascii="仿宋" w:hAnsi="仿宋" w:eastAsia="仿宋" w:cs="仿宋"/>
          <w:b/>
          <w:bCs/>
          <w:sz w:val="28"/>
          <w:szCs w:val="28"/>
          <w:highlight w:val="none"/>
        </w:rPr>
      </w:pPr>
    </w:p>
    <w:p>
      <w:pPr>
        <w:spacing w:line="480" w:lineRule="exact"/>
        <w:ind w:firstLine="562" w:firstLineChars="200"/>
        <w:rPr>
          <w:rFonts w:hint="eastAsia" w:ascii="仿宋" w:hAnsi="仿宋" w:eastAsia="仿宋" w:cs="仿宋"/>
          <w:b/>
          <w:bCs/>
          <w:sz w:val="28"/>
          <w:szCs w:val="28"/>
          <w:highlight w:val="none"/>
        </w:rPr>
      </w:pPr>
    </w:p>
    <w:p>
      <w:pPr>
        <w:spacing w:line="480" w:lineRule="exact"/>
        <w:ind w:firstLine="562" w:firstLineChars="200"/>
        <w:rPr>
          <w:rFonts w:hint="eastAsia" w:ascii="仿宋" w:hAnsi="仿宋" w:eastAsia="仿宋" w:cs="仿宋"/>
          <w:b/>
          <w:bCs/>
          <w:sz w:val="28"/>
          <w:szCs w:val="28"/>
          <w:highlight w:val="none"/>
        </w:rPr>
      </w:pPr>
    </w:p>
    <w:p>
      <w:pPr>
        <w:spacing w:line="480" w:lineRule="exact"/>
        <w:ind w:firstLine="562" w:firstLineChars="200"/>
        <w:rPr>
          <w:rFonts w:hint="eastAsia" w:ascii="仿宋" w:hAnsi="仿宋" w:eastAsia="仿宋" w:cs="仿宋"/>
          <w:b/>
          <w:bCs/>
          <w:sz w:val="28"/>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FF4CA"/>
    <w:multiLevelType w:val="singleLevel"/>
    <w:tmpl w:val="BFDFF4CA"/>
    <w:lvl w:ilvl="0" w:tentative="0">
      <w:start w:val="7"/>
      <w:numFmt w:val="chineseCounting"/>
      <w:suff w:val="space"/>
      <w:lvlText w:val="第%1条"/>
      <w:lvlJc w:val="left"/>
      <w:rPr>
        <w:rFonts w:hint="eastAsia"/>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6">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E9BA5"/>
    <w:rsid w:val="0FFDF96D"/>
    <w:rsid w:val="1FF3099A"/>
    <w:rsid w:val="37F744E2"/>
    <w:rsid w:val="4BEE9BA5"/>
    <w:rsid w:val="5FFBD57A"/>
    <w:rsid w:val="72B7800A"/>
    <w:rsid w:val="777F378E"/>
    <w:rsid w:val="77FD8B5E"/>
    <w:rsid w:val="95ED010A"/>
    <w:rsid w:val="B67F9118"/>
    <w:rsid w:val="DFCFD941"/>
    <w:rsid w:val="DFDBDB0A"/>
    <w:rsid w:val="F1FFAFC2"/>
    <w:rsid w:val="F65FA5FA"/>
    <w:rsid w:val="FBF78BEA"/>
    <w:rsid w:val="FFBB7DBB"/>
    <w:rsid w:val="FFEF2312"/>
    <w:rsid w:val="FFF7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ind w:firstLine="420" w:firstLineChars="200"/>
      <w:jc w:val="both"/>
    </w:pPr>
    <w:rPr>
      <w:rFonts w:ascii="Times New Roman" w:hAnsi="Times New Roman" w:eastAsia="仿宋_GB2312" w:cs="Times New Roman"/>
      <w:kern w:val="2"/>
      <w:sz w:val="30"/>
      <w:lang w:val="en-US" w:eastAsia="zh-CN" w:bidi="ar-SA"/>
    </w:rPr>
  </w:style>
  <w:style w:type="paragraph" w:styleId="3">
    <w:name w:val="Body Text Indent"/>
    <w:qFormat/>
    <w:uiPriority w:val="0"/>
    <w:pPr>
      <w:widowControl w:val="0"/>
      <w:autoSpaceDE w:val="0"/>
      <w:autoSpaceDN w:val="0"/>
      <w:adjustRightInd w:val="0"/>
      <w:spacing w:line="480" w:lineRule="exact"/>
      <w:ind w:left="850" w:hanging="249"/>
      <w:jc w:val="both"/>
      <w:textAlignment w:val="baseline"/>
    </w:pPr>
    <w:rPr>
      <w:rFonts w:ascii="仿宋_GB2312" w:hAnsi="Times New Roman" w:eastAsia="仿宋_GB2312" w:cs="Times New Roman"/>
      <w:kern w:val="0"/>
      <w:sz w:val="28"/>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paragraph" w:styleId="5">
    <w:name w:val="Normal (Web)"/>
    <w:qFormat/>
    <w:uiPriority w:val="0"/>
    <w:pPr>
      <w:widowControl w:val="0"/>
      <w:jc w:val="both"/>
    </w:pPr>
    <w:rPr>
      <w:rFonts w:ascii="Times New Roman" w:hAnsi="Times New Roman" w:eastAsia="仿宋_GB2312" w:cs="Times New Roman"/>
      <w:kern w:val="2"/>
      <w:sz w:val="24"/>
      <w:lang w:val="en-US" w:eastAsia="zh-CN" w:bidi="ar-SA"/>
    </w:rPr>
  </w:style>
  <w:style w:type="paragraph" w:styleId="6">
    <w:name w:val="Body Text First Indent 2"/>
    <w:qFormat/>
    <w:uiPriority w:val="0"/>
    <w:pPr>
      <w:widowControl w:val="0"/>
      <w:autoSpaceDE w:val="0"/>
      <w:autoSpaceDN w:val="0"/>
      <w:adjustRightInd w:val="0"/>
      <w:spacing w:line="480" w:lineRule="exact"/>
      <w:ind w:left="850" w:firstLine="420" w:firstLineChars="200"/>
      <w:jc w:val="both"/>
      <w:textAlignment w:val="baseline"/>
    </w:pPr>
    <w:rPr>
      <w:rFonts w:ascii="宋体" w:hAnsi="MS Sans Serif" w:eastAsia="仿宋_GB2312" w:cs="Times New Roman"/>
      <w:spacing w:val="12"/>
      <w:kern w:val="0"/>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2023-12-10T02:50:00Z</dcterms:created>
  <dc:creator>uos</dc:creator>
  <cp:lastModifiedBy>greatwall</cp:lastModifiedBy>
  <dcterms:modified xsi:type="dcterms:W3CDTF">2023-12-20T10:04:44Z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