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bCs/>
          <w:sz w:val="44"/>
          <w:szCs w:val="44"/>
        </w:rPr>
      </w:pPr>
      <w:r>
        <w:rPr>
          <w:rFonts w:hint="eastAsia" w:ascii="黑体" w:hAnsi="黑体" w:eastAsia="黑体"/>
          <w:bCs/>
          <w:sz w:val="44"/>
          <w:szCs w:val="44"/>
        </w:rPr>
        <w:t>江门市知识产权快速维权中心知识产权</w:t>
      </w:r>
    </w:p>
    <w:p>
      <w:pPr>
        <w:spacing w:line="360" w:lineRule="auto"/>
        <w:jc w:val="center"/>
        <w:rPr>
          <w:rFonts w:ascii="黑体" w:hAnsi="黑体" w:eastAsia="黑体"/>
          <w:bCs/>
          <w:color w:val="000000" w:themeColor="text1"/>
          <w:sz w:val="44"/>
          <w:szCs w:val="44"/>
          <w14:textFill>
            <w14:solidFill>
              <w14:schemeClr w14:val="tx1"/>
            </w14:solidFill>
          </w14:textFill>
        </w:rPr>
      </w:pPr>
      <w:r>
        <w:rPr>
          <w:rFonts w:hint="eastAsia" w:ascii="黑体" w:hAnsi="黑体" w:eastAsia="黑体"/>
          <w:bCs/>
          <w:sz w:val="44"/>
          <w:szCs w:val="44"/>
        </w:rPr>
        <w:t>产业信息分析服务项目采购公告</w:t>
      </w:r>
      <w:r>
        <w:rPr>
          <w:rFonts w:hint="eastAsia" w:ascii="宋体" w:hAnsi="宋体" w:eastAsia="宋体" w:cs="宋体"/>
          <w:b/>
          <w:color w:val="000000" w:themeColor="text1"/>
          <w:sz w:val="44"/>
          <w:szCs w:val="44"/>
          <w:shd w:val="clear" w:color="auto" w:fill="FFFFFF"/>
          <w:lang w:bidi="ar"/>
          <w14:textFill>
            <w14:solidFill>
              <w14:schemeClr w14:val="tx1"/>
            </w14:solidFill>
          </w14:textFill>
        </w:rPr>
        <w:t>合同</w:t>
      </w:r>
    </w:p>
    <w:p>
      <w:pPr>
        <w:spacing w:line="56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56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江门市知识产权快速维权中心</w:t>
      </w:r>
    </w:p>
    <w:p>
      <w:pPr>
        <w:spacing w:line="56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江门市蓬江区东华二路7号</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560" w:lineRule="exact"/>
        <w:rPr>
          <w:rFonts w:ascii="仿宋" w:hAnsi="仿宋" w:eastAsia="仿宋" w:cs="仿宋"/>
          <w:b/>
          <w:sz w:val="28"/>
          <w:szCs w:val="28"/>
          <w:u w:val="single"/>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 xml:space="preserve">： </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地址： </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560" w:lineRule="exact"/>
        <w:rPr>
          <w:rFonts w:ascii="仿宋" w:hAnsi="仿宋" w:eastAsia="仿宋" w:cs="仿宋"/>
          <w:color w:val="666666"/>
          <w:sz w:val="28"/>
          <w:szCs w:val="28"/>
          <w:shd w:val="clear" w:color="auto" w:fill="FFFFFF"/>
        </w:rPr>
      </w:pPr>
    </w:p>
    <w:p>
      <w:pPr>
        <w:widowControl/>
        <w:spacing w:line="560" w:lineRule="exact"/>
        <w:ind w:firstLine="618" w:firstLineChars="221"/>
        <w:rPr>
          <w:rFonts w:ascii="仿宋" w:hAnsi="仿宋" w:eastAsia="仿宋" w:cs="仿宋"/>
          <w:b/>
          <w:bCs/>
          <w:sz w:val="28"/>
          <w:szCs w:val="28"/>
        </w:rPr>
      </w:pPr>
      <w:r>
        <w:rPr>
          <w:rFonts w:hint="eastAsia" w:ascii="仿宋" w:hAnsi="仿宋" w:eastAsia="仿宋" w:cs="仿宋"/>
          <w:sz w:val="28"/>
          <w:szCs w:val="28"/>
        </w:rPr>
        <w:t>甲、乙双方根据“</w:t>
      </w:r>
      <w:r>
        <w:rPr>
          <w:rFonts w:hint="eastAsia" w:ascii="仿宋" w:hAnsi="仿宋" w:eastAsia="仿宋" w:cs="仿宋"/>
          <w:bCs/>
          <w:sz w:val="28"/>
          <w:szCs w:val="28"/>
        </w:rPr>
        <w:t>江门市知识产权快速维权中心知识产权产业信息分析服务项目</w:t>
      </w:r>
      <w:r>
        <w:rPr>
          <w:rFonts w:hint="eastAsia" w:ascii="仿宋" w:hAnsi="仿宋" w:eastAsia="仿宋" w:cs="仿宋"/>
          <w:sz w:val="28"/>
          <w:szCs w:val="28"/>
        </w:rPr>
        <w:t>”（项目编号：XXXXXXXXX）（以下简称项目）的采购公告、项目采购结果公告的要求，按照《中华人民共和国民法典》《中华人民共和国政府采购法》及其实施条例等相关法律法规的规定，经双方协商，本着平等互利和诚实信用的原则，一致同意签订本合同如下</w:t>
      </w:r>
      <w:r>
        <w:rPr>
          <w:rFonts w:hint="eastAsia" w:ascii="仿宋" w:hAnsi="仿宋" w:eastAsia="仿宋" w:cs="仿宋"/>
          <w:color w:val="000000"/>
          <w:sz w:val="28"/>
          <w:szCs w:val="28"/>
        </w:rPr>
        <w:t xml:space="preserve">： </w:t>
      </w:r>
    </w:p>
    <w:p>
      <w:pPr>
        <w:spacing w:line="56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spacing w:line="560" w:lineRule="exact"/>
        <w:ind w:firstLine="555"/>
        <w:rPr>
          <w:rFonts w:hint="eastAsia" w:ascii="仿宋" w:hAnsi="仿宋" w:eastAsia="仿宋" w:cs="仿宋"/>
          <w:bCs/>
          <w:sz w:val="28"/>
          <w:szCs w:val="28"/>
        </w:rPr>
      </w:pPr>
      <w:r>
        <w:rPr>
          <w:rFonts w:hint="eastAsia" w:ascii="仿宋" w:hAnsi="仿宋" w:eastAsia="仿宋" w:cs="仿宋"/>
          <w:sz w:val="28"/>
          <w:szCs w:val="28"/>
        </w:rPr>
        <w:t>甲方委托乙方就“</w:t>
      </w:r>
      <w:r>
        <w:rPr>
          <w:rFonts w:hint="eastAsia" w:ascii="仿宋" w:hAnsi="仿宋" w:eastAsia="仿宋" w:cs="仿宋"/>
          <w:bCs/>
          <w:sz w:val="28"/>
          <w:szCs w:val="28"/>
        </w:rPr>
        <w:t>江门市知识产权快速维权中心知识产权产业信息分析服务项目</w:t>
      </w:r>
      <w:r>
        <w:rPr>
          <w:rFonts w:hint="eastAsia" w:ascii="仿宋" w:hAnsi="仿宋" w:eastAsia="仿宋" w:cs="仿宋"/>
          <w:sz w:val="28"/>
          <w:szCs w:val="28"/>
        </w:rPr>
        <w:t>”提供项目服务，乙方的工作内容包括，</w:t>
      </w:r>
      <w:r>
        <w:rPr>
          <w:rFonts w:hint="eastAsia" w:ascii="仿宋" w:hAnsi="仿宋" w:eastAsia="仿宋" w:cs="仿宋"/>
          <w:bCs/>
          <w:sz w:val="28"/>
          <w:szCs w:val="28"/>
        </w:rPr>
        <w:t>开展重点</w:t>
      </w:r>
      <w:r>
        <w:rPr>
          <w:rFonts w:ascii="仿宋" w:hAnsi="仿宋" w:eastAsia="仿宋" w:cs="仿宋"/>
          <w:bCs/>
          <w:sz w:val="28"/>
          <w:szCs w:val="28"/>
        </w:rPr>
        <w:t>产业的知识产权信息分析</w:t>
      </w:r>
      <w:r>
        <w:rPr>
          <w:rFonts w:hint="eastAsia" w:ascii="仿宋" w:hAnsi="仿宋" w:eastAsia="仿宋" w:cs="仿宋"/>
          <w:bCs/>
          <w:sz w:val="28"/>
          <w:szCs w:val="28"/>
        </w:rPr>
        <w:t>，协助组织知识产权运用及保护主题宣讲活动</w:t>
      </w:r>
      <w:r>
        <w:rPr>
          <w:rFonts w:ascii="仿宋" w:hAnsi="仿宋" w:eastAsia="仿宋" w:cs="仿宋"/>
          <w:bCs/>
          <w:sz w:val="28"/>
          <w:szCs w:val="28"/>
        </w:rPr>
        <w:t>。</w:t>
      </w:r>
      <w:r>
        <w:rPr>
          <w:rFonts w:hint="eastAsia" w:ascii="仿宋" w:hAnsi="仿宋" w:eastAsia="仿宋" w:cs="仿宋"/>
          <w:bCs/>
          <w:sz w:val="28"/>
          <w:szCs w:val="28"/>
        </w:rPr>
        <w:t>具体工作方式如下：</w:t>
      </w:r>
    </w:p>
    <w:p>
      <w:pPr>
        <w:spacing w:line="560" w:lineRule="exact"/>
        <w:ind w:firstLine="555"/>
        <w:rPr>
          <w:rFonts w:hint="eastAsia" w:ascii="仿宋" w:hAnsi="仿宋" w:eastAsia="仿宋" w:cs="仿宋"/>
          <w:sz w:val="28"/>
          <w:szCs w:val="28"/>
        </w:rPr>
      </w:pPr>
      <w:r>
        <w:rPr>
          <w:rFonts w:hint="eastAsia" w:ascii="仿宋" w:hAnsi="仿宋" w:eastAsia="仿宋" w:cs="仿宋"/>
          <w:sz w:val="28"/>
          <w:szCs w:val="28"/>
        </w:rPr>
        <w:t>（一）重点产业的知识产权信息分析。</w:t>
      </w:r>
    </w:p>
    <w:p>
      <w:pPr>
        <w:spacing w:line="560" w:lineRule="exact"/>
        <w:ind w:firstLine="555"/>
        <w:rPr>
          <w:rFonts w:hint="eastAsia" w:ascii="仿宋" w:hAnsi="仿宋" w:eastAsia="仿宋" w:cs="仿宋"/>
          <w:sz w:val="28"/>
          <w:szCs w:val="28"/>
        </w:rPr>
      </w:pPr>
      <w:r>
        <w:rPr>
          <w:rFonts w:hint="eastAsia" w:ascii="仿宋" w:hAnsi="仿宋" w:eastAsia="仿宋" w:cs="仿宋"/>
          <w:sz w:val="28"/>
          <w:szCs w:val="28"/>
        </w:rPr>
        <w:t>1.围绕江门市战略性支柱产业集群、江门市战略性新兴产业集群、江门市重点产业链等产业布局开展专利申请、专利布局和专利趋势分析，筛选不少于4个知识产权优势产业，并针对该4个产业发展情况开展产业专利现状、技术专利态势分析、技术要素分析、发展建议等工作。</w:t>
      </w:r>
    </w:p>
    <w:p>
      <w:pPr>
        <w:spacing w:line="560" w:lineRule="exact"/>
        <w:ind w:firstLine="555"/>
        <w:rPr>
          <w:rFonts w:hint="eastAsia" w:ascii="仿宋" w:hAnsi="仿宋" w:eastAsia="仿宋" w:cs="仿宋"/>
          <w:sz w:val="28"/>
          <w:szCs w:val="28"/>
        </w:rPr>
      </w:pPr>
      <w:r>
        <w:rPr>
          <w:rFonts w:hint="eastAsia" w:ascii="仿宋" w:hAnsi="仿宋" w:eastAsia="仿宋" w:cs="仿宋"/>
          <w:sz w:val="28"/>
          <w:szCs w:val="28"/>
        </w:rPr>
        <w:t xml:space="preserve">2.安排不少于5名专业技术人员，利用相关检索系统，采用简单检索、表格检索、指令检索、批量检索、引证检索、法律检索、语义检索、扩展检索等多种检索方式进行检索。 </w:t>
      </w:r>
    </w:p>
    <w:p>
      <w:pPr>
        <w:spacing w:line="560" w:lineRule="exact"/>
        <w:ind w:firstLine="555"/>
        <w:rPr>
          <w:rFonts w:hint="eastAsia" w:ascii="仿宋" w:hAnsi="仿宋" w:eastAsia="仿宋" w:cs="仿宋"/>
          <w:sz w:val="28"/>
          <w:szCs w:val="28"/>
        </w:rPr>
      </w:pPr>
      <w:r>
        <w:rPr>
          <w:rFonts w:hint="eastAsia" w:ascii="仿宋" w:hAnsi="仿宋" w:eastAsia="仿宋" w:cs="仿宋"/>
          <w:sz w:val="28"/>
          <w:szCs w:val="28"/>
        </w:rPr>
        <w:t>3.采用定量和定性分析相结合的方式进行检索分析，专利信息分析的维度不少于专利申请趋势、专利状态分析、重要申请人分析、技术分布及专利运营分析、产业布局建议等6个，相关数据至少列出全市前10名的数据排名，并与珠三角其他地级以上市进行横向对比。</w:t>
      </w:r>
    </w:p>
    <w:p>
      <w:pPr>
        <w:spacing w:line="560" w:lineRule="exact"/>
        <w:ind w:firstLine="555"/>
        <w:rPr>
          <w:rFonts w:hint="eastAsia" w:ascii="仿宋" w:hAnsi="仿宋" w:eastAsia="仿宋" w:cs="仿宋"/>
          <w:sz w:val="28"/>
          <w:szCs w:val="28"/>
        </w:rPr>
      </w:pPr>
      <w:r>
        <w:rPr>
          <w:rFonts w:hint="eastAsia" w:ascii="仿宋" w:hAnsi="仿宋" w:eastAsia="仿宋" w:cs="仿宋"/>
          <w:sz w:val="28"/>
          <w:szCs w:val="28"/>
        </w:rPr>
        <w:t>4.以该4个知识产权优势产业的知识产权信息分析为基础，形成分析1份检索报告和1个专利检索数据库。</w:t>
      </w:r>
    </w:p>
    <w:p>
      <w:pPr>
        <w:spacing w:line="560" w:lineRule="exact"/>
        <w:ind w:firstLine="555"/>
        <w:rPr>
          <w:rFonts w:hint="eastAsia" w:ascii="仿宋" w:hAnsi="仿宋" w:eastAsia="仿宋" w:cs="仿宋"/>
          <w:sz w:val="28"/>
          <w:szCs w:val="28"/>
        </w:rPr>
      </w:pPr>
      <w:r>
        <w:rPr>
          <w:rFonts w:hint="eastAsia" w:ascii="仿宋" w:hAnsi="仿宋" w:eastAsia="仿宋" w:cs="仿宋"/>
          <w:sz w:val="28"/>
          <w:szCs w:val="28"/>
        </w:rPr>
        <w:t>（二）知识产权运用及保护主题宣讲活动。</w:t>
      </w:r>
    </w:p>
    <w:p>
      <w:pPr>
        <w:spacing w:line="560" w:lineRule="exact"/>
        <w:ind w:firstLine="555"/>
        <w:rPr>
          <w:rFonts w:hint="eastAsia" w:ascii="仿宋" w:hAnsi="仿宋" w:eastAsia="仿宋" w:cs="仿宋"/>
          <w:sz w:val="28"/>
          <w:szCs w:val="28"/>
        </w:rPr>
      </w:pPr>
      <w:r>
        <w:rPr>
          <w:rFonts w:hint="eastAsia" w:ascii="仿宋" w:hAnsi="仿宋" w:eastAsia="仿宋" w:cs="仿宋"/>
          <w:sz w:val="28"/>
          <w:szCs w:val="28"/>
        </w:rPr>
        <w:t>1.协助开展不少于2场知识产权运用及保护宣讲活动，每场时间不少于半天、参与人员不少于35人，地点在江门市内。</w:t>
      </w:r>
    </w:p>
    <w:p>
      <w:pPr>
        <w:spacing w:line="560" w:lineRule="exact"/>
        <w:ind w:firstLine="555"/>
        <w:rPr>
          <w:rFonts w:hint="eastAsia" w:ascii="仿宋" w:hAnsi="仿宋" w:eastAsia="仿宋" w:cs="仿宋"/>
          <w:sz w:val="28"/>
          <w:szCs w:val="28"/>
        </w:rPr>
      </w:pPr>
      <w:r>
        <w:rPr>
          <w:rFonts w:hint="eastAsia" w:ascii="仿宋" w:hAnsi="仿宋" w:eastAsia="仿宋" w:cs="仿宋"/>
          <w:sz w:val="28"/>
          <w:szCs w:val="28"/>
        </w:rPr>
        <w:t>2.协助组织全市国家、省知识产权优势示范企业及高校院所前往省内先进地区学习交流知识产权运用工作经验，时间为1天，参与人员不少于30人。</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numPr>
          <w:ilvl w:val="0"/>
          <w:numId w:val="1"/>
        </w:numPr>
        <w:spacing w:line="560" w:lineRule="exact"/>
        <w:rPr>
          <w:rFonts w:hint="eastAsia" w:ascii="仿宋" w:hAnsi="仿宋" w:eastAsia="仿宋" w:cs="仿宋"/>
          <w:sz w:val="28"/>
          <w:szCs w:val="28"/>
        </w:rPr>
      </w:pPr>
      <w:r>
        <w:rPr>
          <w:rFonts w:hint="eastAsia" w:ascii="仿宋" w:hAnsi="仿宋" w:eastAsia="仿宋" w:cs="仿宋"/>
          <w:color w:val="000000"/>
          <w:sz w:val="28"/>
          <w:szCs w:val="28"/>
        </w:rPr>
        <w:t>乙方向甲方提供服务的协议期限为自本协议签订生效之日起至2023年12月10日止</w:t>
      </w:r>
      <w:r>
        <w:rPr>
          <w:rFonts w:hint="eastAsia" w:ascii="仿宋" w:hAnsi="仿宋" w:eastAsia="仿宋" w:cs="仿宋"/>
          <w:sz w:val="32"/>
          <w:szCs w:val="32"/>
        </w:rPr>
        <w:t>。</w:t>
      </w:r>
    </w:p>
    <w:p>
      <w:pPr>
        <w:numPr>
          <w:ilvl w:val="0"/>
          <w:numId w:val="1"/>
        </w:numPr>
        <w:spacing w:line="560" w:lineRule="exact"/>
        <w:rPr>
          <w:rFonts w:ascii="仿宋" w:hAnsi="仿宋" w:eastAsia="仿宋" w:cs="仿宋"/>
          <w:sz w:val="28"/>
          <w:szCs w:val="28"/>
        </w:rPr>
      </w:pPr>
      <w:r>
        <w:rPr>
          <w:rFonts w:ascii="仿宋" w:hAnsi="仿宋" w:eastAsia="仿宋" w:cs="仿宋"/>
          <w:sz w:val="28"/>
        </w:rPr>
        <w:t>乙方向甲方提供服务可获得的项目技术服务总费用（即项目总费用、含税价）为人民币</w:t>
      </w:r>
      <w:r>
        <w:rPr>
          <w:rFonts w:hint="eastAsia" w:ascii="仿宋" w:hAnsi="仿宋" w:eastAsia="仿宋" w:cs="仿宋"/>
          <w:sz w:val="28"/>
          <w:u w:val="single"/>
          <w:lang w:eastAsia="zh-CN"/>
        </w:rPr>
        <w:t>壹</w:t>
      </w:r>
      <w:r>
        <w:rPr>
          <w:rFonts w:hint="eastAsia" w:ascii="仿宋" w:hAnsi="仿宋" w:eastAsia="仿宋" w:cs="仿宋"/>
          <w:sz w:val="28"/>
          <w:u w:val="single"/>
        </w:rPr>
        <w:t>拾万</w:t>
      </w:r>
      <w:r>
        <w:rPr>
          <w:rFonts w:ascii="仿宋" w:hAnsi="仿宋" w:eastAsia="仿宋" w:cs="仿宋"/>
          <w:sz w:val="28"/>
          <w:u w:val="single"/>
        </w:rPr>
        <w:t>元整（</w:t>
      </w:r>
      <w:r>
        <w:rPr>
          <w:rFonts w:hint="eastAsia" w:ascii="仿宋" w:hAnsi="仿宋" w:eastAsia="仿宋" w:cs="仿宋_GB2312"/>
          <w:sz w:val="28"/>
          <w:szCs w:val="28"/>
          <w:u w:val="single"/>
          <w:lang w:val="en-US" w:eastAsia="zh-CN"/>
        </w:rPr>
        <w:t>¥100,000元</w:t>
      </w:r>
      <w:r>
        <w:rPr>
          <w:rFonts w:ascii="仿宋" w:hAnsi="仿宋" w:eastAsia="仿宋" w:cs="仿宋"/>
          <w:sz w:val="28"/>
          <w:u w:val="single"/>
        </w:rPr>
        <w:t>）</w:t>
      </w:r>
      <w:r>
        <w:rPr>
          <w:rFonts w:hint="eastAsia" w:ascii="仿宋" w:hAnsi="仿宋" w:eastAsia="仿宋" w:cs="仿宋"/>
          <w:sz w:val="28"/>
          <w:u w:val="single"/>
        </w:rPr>
        <w:t>。</w:t>
      </w:r>
    </w:p>
    <w:p>
      <w:pPr>
        <w:numPr>
          <w:ilvl w:val="0"/>
          <w:numId w:val="1"/>
        </w:numPr>
        <w:spacing w:line="56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spacing w:line="560" w:lineRule="exact"/>
        <w:ind w:firstLine="560" w:firstLineChars="200"/>
        <w:rPr>
          <w:rFonts w:ascii="仿宋" w:hAnsi="仿宋" w:eastAsia="仿宋" w:cs="仿宋_GB2312"/>
          <w:sz w:val="28"/>
          <w:szCs w:val="28"/>
          <w:highlight w:val="none"/>
        </w:rPr>
      </w:pPr>
      <w:r>
        <w:rPr>
          <w:rFonts w:hint="eastAsia" w:ascii="仿宋" w:hAnsi="仿宋" w:eastAsia="仿宋" w:cs="仿宋_GB2312"/>
          <w:sz w:val="28"/>
          <w:szCs w:val="28"/>
        </w:rPr>
        <w:t>1.支付方式</w:t>
      </w:r>
      <w:r>
        <w:rPr>
          <w:rFonts w:hint="eastAsia" w:ascii="仿宋" w:hAnsi="仿宋" w:eastAsia="仿宋" w:cs="仿宋_GB2312"/>
          <w:sz w:val="28"/>
          <w:szCs w:val="28"/>
          <w:highlight w:val="none"/>
        </w:rPr>
        <w:t>：分</w:t>
      </w:r>
      <w:r>
        <w:rPr>
          <w:rFonts w:hint="eastAsia" w:ascii="仿宋" w:hAnsi="仿宋" w:eastAsia="仿宋" w:cs="仿宋_GB2312"/>
          <w:sz w:val="28"/>
          <w:szCs w:val="28"/>
          <w:highlight w:val="none"/>
          <w:lang w:eastAsia="zh-CN"/>
        </w:rPr>
        <w:t>三</w:t>
      </w:r>
      <w:r>
        <w:rPr>
          <w:rFonts w:hint="eastAsia" w:ascii="仿宋" w:hAnsi="仿宋" w:eastAsia="仿宋" w:cs="仿宋_GB2312"/>
          <w:sz w:val="28"/>
          <w:szCs w:val="28"/>
          <w:highlight w:val="none"/>
        </w:rPr>
        <w:t>期支付。</w:t>
      </w:r>
    </w:p>
    <w:p>
      <w:pPr>
        <w:spacing w:line="560" w:lineRule="exact"/>
        <w:ind w:firstLine="560" w:firstLineChars="200"/>
        <w:rPr>
          <w:rFonts w:ascii="仿宋" w:hAnsi="仿宋" w:eastAsia="仿宋" w:cs="仿宋_GB2312"/>
          <w:sz w:val="28"/>
          <w:szCs w:val="28"/>
          <w:highlight w:val="none"/>
        </w:rPr>
      </w:pPr>
      <w:r>
        <w:rPr>
          <w:rFonts w:hint="eastAsia" w:ascii="仿宋" w:hAnsi="仿宋" w:eastAsia="仿宋" w:cs="仿宋"/>
          <w:sz w:val="28"/>
          <w:szCs w:val="28"/>
          <w:highlight w:val="none"/>
        </w:rPr>
        <w:t>第一期：</w:t>
      </w:r>
      <w:r>
        <w:rPr>
          <w:rFonts w:hint="eastAsia" w:ascii="仿宋" w:hAnsi="仿宋" w:eastAsia="仿宋" w:cs="仿宋_GB2312"/>
          <w:sz w:val="28"/>
          <w:szCs w:val="28"/>
          <w:highlight w:val="none"/>
        </w:rPr>
        <w:t>本合同签订生效后，甲方收到乙方开具的等额有效的发票之日起30个工作日内向乙方支付项目总费用的</w:t>
      </w:r>
      <w:r>
        <w:rPr>
          <w:rFonts w:hint="eastAsia" w:ascii="仿宋" w:hAnsi="仿宋" w:eastAsia="仿宋" w:cs="仿宋_GB2312"/>
          <w:sz w:val="28"/>
          <w:szCs w:val="28"/>
          <w:highlight w:val="none"/>
          <w:lang w:val="en-US" w:eastAsia="zh-CN"/>
        </w:rPr>
        <w:t>6</w:t>
      </w:r>
      <w:r>
        <w:rPr>
          <w:rFonts w:ascii="仿宋" w:hAnsi="仿宋" w:eastAsia="仿宋" w:cs="仿宋_GB2312"/>
          <w:sz w:val="28"/>
          <w:szCs w:val="28"/>
          <w:highlight w:val="none"/>
          <w:u w:val="single"/>
        </w:rPr>
        <w:t>0</w:t>
      </w:r>
      <w:r>
        <w:rPr>
          <w:rFonts w:hint="eastAsia" w:ascii="仿宋" w:hAnsi="仿宋" w:eastAsia="仿宋" w:cs="仿宋_GB2312"/>
          <w:sz w:val="28"/>
          <w:szCs w:val="28"/>
          <w:highlight w:val="none"/>
        </w:rPr>
        <w:t>%，</w:t>
      </w:r>
      <w:r>
        <w:rPr>
          <w:rFonts w:hint="eastAsia" w:ascii="仿宋" w:hAnsi="仿宋" w:eastAsia="仿宋" w:cs="仿宋_GB2312"/>
          <w:sz w:val="28"/>
          <w:szCs w:val="28"/>
          <w:highlight w:val="none"/>
          <w:u w:val="single"/>
        </w:rPr>
        <w:t>即人民币</w:t>
      </w:r>
      <w:r>
        <w:rPr>
          <w:rFonts w:hint="eastAsia" w:ascii="仿宋" w:hAnsi="仿宋" w:eastAsia="仿宋" w:cs="仿宋_GB2312"/>
          <w:sz w:val="28"/>
          <w:szCs w:val="28"/>
          <w:highlight w:val="none"/>
          <w:u w:val="single"/>
          <w:lang w:eastAsia="zh-CN"/>
        </w:rPr>
        <w:t>陆</w:t>
      </w:r>
      <w:r>
        <w:rPr>
          <w:rFonts w:hint="eastAsia" w:ascii="仿宋" w:hAnsi="仿宋" w:eastAsia="仿宋" w:cs="仿宋_GB2312"/>
          <w:sz w:val="28"/>
          <w:szCs w:val="28"/>
          <w:highlight w:val="none"/>
          <w:u w:val="single"/>
        </w:rPr>
        <w:t>万元整（￥</w:t>
      </w:r>
      <w:r>
        <w:rPr>
          <w:rFonts w:hint="eastAsia" w:ascii="仿宋" w:hAnsi="仿宋" w:eastAsia="仿宋" w:cs="仿宋_GB2312"/>
          <w:sz w:val="28"/>
          <w:szCs w:val="28"/>
          <w:highlight w:val="none"/>
          <w:u w:val="single"/>
          <w:lang w:val="en-US" w:eastAsia="zh-CN"/>
        </w:rPr>
        <w:t>6</w:t>
      </w:r>
      <w:r>
        <w:rPr>
          <w:rFonts w:hint="eastAsia" w:ascii="仿宋" w:hAnsi="仿宋" w:eastAsia="仿宋" w:cs="仿宋_GB2312"/>
          <w:sz w:val="28"/>
          <w:szCs w:val="28"/>
          <w:highlight w:val="none"/>
          <w:u w:val="single"/>
        </w:rPr>
        <w:t>0</w:t>
      </w:r>
      <w:r>
        <w:rPr>
          <w:rFonts w:ascii="宋体" w:hAnsi="宋体" w:eastAsia="宋体" w:cs="宋体"/>
          <w:sz w:val="28"/>
          <w:highlight w:val="none"/>
          <w:u w:val="single"/>
        </w:rPr>
        <w:t>,</w:t>
      </w:r>
      <w:r>
        <w:rPr>
          <w:rFonts w:hint="eastAsia" w:ascii="仿宋" w:hAnsi="仿宋" w:eastAsia="仿宋" w:cs="仿宋_GB2312"/>
          <w:sz w:val="28"/>
          <w:szCs w:val="28"/>
          <w:highlight w:val="none"/>
          <w:u w:val="single"/>
        </w:rPr>
        <w:t>000元）</w:t>
      </w:r>
      <w:r>
        <w:rPr>
          <w:rFonts w:hint="eastAsia" w:ascii="仿宋" w:hAnsi="仿宋" w:eastAsia="仿宋" w:cs="仿宋_GB2312"/>
          <w:sz w:val="28"/>
          <w:szCs w:val="28"/>
          <w:highlight w:val="none"/>
        </w:rPr>
        <w:t>；</w:t>
      </w:r>
    </w:p>
    <w:p>
      <w:pPr>
        <w:spacing w:line="560" w:lineRule="exact"/>
        <w:ind w:firstLine="560" w:firstLineChars="200"/>
        <w:rPr>
          <w:rFonts w:hint="eastAsia" w:ascii="仿宋" w:hAnsi="仿宋" w:eastAsia="仿宋" w:cs="仿宋_GB2312"/>
          <w:sz w:val="28"/>
          <w:szCs w:val="28"/>
          <w:highlight w:val="none"/>
        </w:rPr>
      </w:pPr>
      <w:r>
        <w:rPr>
          <w:rFonts w:hint="eastAsia" w:ascii="仿宋" w:hAnsi="仿宋" w:eastAsia="仿宋" w:cs="仿宋_GB2312"/>
          <w:sz w:val="28"/>
          <w:szCs w:val="28"/>
          <w:highlight w:val="none"/>
        </w:rPr>
        <w:t>第二期：</w:t>
      </w:r>
      <w:r>
        <w:rPr>
          <w:rFonts w:hint="eastAsia" w:ascii="仿宋" w:hAnsi="仿宋" w:eastAsia="仿宋" w:cs="仿宋"/>
          <w:sz w:val="28"/>
          <w:szCs w:val="28"/>
          <w:highlight w:val="none"/>
        </w:rPr>
        <w:t>本协议签订满30日且乙方项目工作完成</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0%，由乙方向甲方提出支付申请，甲方审核通过后，向乙方支付项目总费用的</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0%，即</w:t>
      </w:r>
      <w:r>
        <w:rPr>
          <w:rFonts w:hint="eastAsia" w:ascii="仿宋" w:hAnsi="仿宋" w:eastAsia="仿宋" w:cs="仿宋"/>
          <w:sz w:val="28"/>
          <w:szCs w:val="28"/>
          <w:highlight w:val="none"/>
          <w:u w:val="single"/>
        </w:rPr>
        <w:t>人民币</w:t>
      </w:r>
      <w:r>
        <w:rPr>
          <w:rFonts w:hint="eastAsia" w:ascii="仿宋" w:hAnsi="仿宋" w:eastAsia="仿宋" w:cs="仿宋"/>
          <w:sz w:val="28"/>
          <w:szCs w:val="28"/>
          <w:highlight w:val="none"/>
          <w:u w:val="single"/>
          <w:lang w:eastAsia="zh-CN"/>
        </w:rPr>
        <w:t>叁</w:t>
      </w:r>
      <w:r>
        <w:rPr>
          <w:rFonts w:hint="eastAsia" w:ascii="仿宋" w:hAnsi="仿宋" w:eastAsia="仿宋" w:cs="仿宋"/>
          <w:bCs/>
          <w:sz w:val="28"/>
          <w:szCs w:val="28"/>
          <w:highlight w:val="none"/>
          <w:u w:val="single"/>
          <w:lang w:bidi="ar"/>
        </w:rPr>
        <w:t>万</w:t>
      </w:r>
      <w:r>
        <w:rPr>
          <w:rFonts w:hint="eastAsia" w:ascii="仿宋" w:hAnsi="仿宋" w:eastAsia="仿宋" w:cs="仿宋"/>
          <w:bCs/>
          <w:sz w:val="28"/>
          <w:szCs w:val="28"/>
          <w:highlight w:val="none"/>
          <w:u w:val="single"/>
        </w:rPr>
        <w:t>元整</w:t>
      </w:r>
      <w:r>
        <w:rPr>
          <w:rFonts w:hint="eastAsia" w:ascii="仿宋" w:hAnsi="仿宋" w:eastAsia="仿宋" w:cs="仿宋"/>
          <w:sz w:val="28"/>
          <w:szCs w:val="28"/>
          <w:highlight w:val="none"/>
          <w:u w:val="single"/>
        </w:rPr>
        <w:t>（</w:t>
      </w:r>
      <w:r>
        <w:rPr>
          <w:rFonts w:hint="eastAsia" w:ascii="仿宋" w:hAnsi="仿宋" w:eastAsia="仿宋" w:cs="仿宋_GB2312"/>
          <w:sz w:val="28"/>
          <w:szCs w:val="28"/>
          <w:highlight w:val="none"/>
          <w:u w:val="single"/>
        </w:rPr>
        <w:t>￥</w:t>
      </w:r>
      <w:r>
        <w:rPr>
          <w:rFonts w:hint="eastAsia" w:ascii="仿宋" w:hAnsi="仿宋" w:eastAsia="仿宋" w:cs="仿宋_GB2312"/>
          <w:sz w:val="28"/>
          <w:szCs w:val="28"/>
          <w:highlight w:val="none"/>
          <w:u w:val="single"/>
          <w:lang w:val="en-US" w:eastAsia="zh-CN"/>
        </w:rPr>
        <w:t>3</w:t>
      </w:r>
      <w:r>
        <w:rPr>
          <w:rFonts w:hint="eastAsia" w:ascii="仿宋" w:hAnsi="仿宋" w:eastAsia="仿宋" w:cs="仿宋"/>
          <w:bCs/>
          <w:sz w:val="28"/>
          <w:szCs w:val="28"/>
          <w:highlight w:val="none"/>
          <w:u w:val="single"/>
        </w:rPr>
        <w:t>0,000</w:t>
      </w:r>
      <w:r>
        <w:rPr>
          <w:rFonts w:ascii="仿宋" w:hAnsi="仿宋" w:eastAsia="仿宋" w:cs="仿宋"/>
          <w:bCs/>
          <w:sz w:val="28"/>
          <w:szCs w:val="28"/>
          <w:highlight w:val="none"/>
          <w:u w:val="single"/>
        </w:rPr>
        <w:t>元</w:t>
      </w:r>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rPr>
        <w:t>。</w:t>
      </w:r>
    </w:p>
    <w:p>
      <w:pPr>
        <w:spacing w:line="560" w:lineRule="exact"/>
        <w:ind w:firstLine="560" w:firstLineChars="200"/>
        <w:rPr>
          <w:rFonts w:hint="eastAsia" w:ascii="仿宋" w:hAnsi="仿宋" w:eastAsia="仿宋" w:cs="仿宋_GB2312"/>
          <w:sz w:val="28"/>
          <w:szCs w:val="28"/>
          <w:highlight w:val="none"/>
        </w:rPr>
      </w:pPr>
      <w:r>
        <w:rPr>
          <w:rFonts w:hint="eastAsia" w:ascii="仿宋" w:hAnsi="仿宋" w:eastAsia="仿宋" w:cs="仿宋_GB2312"/>
          <w:sz w:val="28"/>
          <w:szCs w:val="28"/>
          <w:highlight w:val="none"/>
        </w:rPr>
        <w:t>第三期：</w:t>
      </w:r>
      <w:r>
        <w:rPr>
          <w:rFonts w:hint="eastAsia" w:ascii="仿宋" w:hAnsi="仿宋" w:eastAsia="仿宋" w:cs="仿宋"/>
          <w:sz w:val="28"/>
          <w:szCs w:val="28"/>
          <w:highlight w:val="none"/>
        </w:rPr>
        <w:t>本项目经甲方验收合格后，甲方自收到乙方开具的相对应金额发票之日起30个工作日内向乙方支付项目总费用的</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0%，即</w:t>
      </w:r>
      <w:r>
        <w:rPr>
          <w:rFonts w:hint="eastAsia" w:ascii="仿宋" w:hAnsi="仿宋" w:eastAsia="仿宋" w:cs="仿宋"/>
          <w:sz w:val="28"/>
          <w:szCs w:val="28"/>
          <w:highlight w:val="none"/>
          <w:u w:val="single"/>
        </w:rPr>
        <w:t>人民币</w:t>
      </w:r>
      <w:r>
        <w:rPr>
          <w:rFonts w:hint="eastAsia" w:ascii="仿宋" w:hAnsi="仿宋" w:eastAsia="仿宋" w:cs="仿宋"/>
          <w:sz w:val="28"/>
          <w:szCs w:val="28"/>
          <w:highlight w:val="none"/>
          <w:u w:val="single"/>
          <w:lang w:eastAsia="zh-CN"/>
        </w:rPr>
        <w:t>壹</w:t>
      </w:r>
      <w:r>
        <w:rPr>
          <w:rFonts w:hint="eastAsia" w:ascii="仿宋" w:hAnsi="仿宋" w:eastAsia="仿宋" w:cs="仿宋"/>
          <w:bCs/>
          <w:sz w:val="28"/>
          <w:szCs w:val="28"/>
          <w:highlight w:val="none"/>
          <w:u w:val="single"/>
          <w:lang w:bidi="ar"/>
        </w:rPr>
        <w:t>万</w:t>
      </w:r>
      <w:r>
        <w:rPr>
          <w:rFonts w:hint="eastAsia" w:ascii="仿宋" w:hAnsi="仿宋" w:eastAsia="仿宋" w:cs="仿宋"/>
          <w:bCs/>
          <w:sz w:val="28"/>
          <w:szCs w:val="28"/>
          <w:highlight w:val="none"/>
          <w:u w:val="single"/>
        </w:rPr>
        <w:t>元整</w:t>
      </w:r>
      <w:r>
        <w:rPr>
          <w:rFonts w:hint="eastAsia" w:ascii="仿宋" w:hAnsi="仿宋" w:eastAsia="仿宋" w:cs="仿宋"/>
          <w:sz w:val="28"/>
          <w:szCs w:val="28"/>
          <w:highlight w:val="none"/>
          <w:u w:val="single"/>
        </w:rPr>
        <w:t>（</w:t>
      </w:r>
      <w:r>
        <w:rPr>
          <w:rFonts w:hint="eastAsia" w:ascii="仿宋" w:hAnsi="仿宋" w:eastAsia="仿宋" w:cs="仿宋_GB2312"/>
          <w:sz w:val="28"/>
          <w:szCs w:val="28"/>
          <w:highlight w:val="none"/>
          <w:u w:val="single"/>
        </w:rPr>
        <w:t>￥</w:t>
      </w:r>
      <w:r>
        <w:rPr>
          <w:rFonts w:hint="eastAsia" w:ascii="仿宋" w:hAnsi="仿宋" w:eastAsia="仿宋" w:cs="仿宋_GB2312"/>
          <w:sz w:val="28"/>
          <w:szCs w:val="28"/>
          <w:highlight w:val="none"/>
          <w:u w:val="single"/>
          <w:lang w:val="en-US" w:eastAsia="zh-CN"/>
        </w:rPr>
        <w:t>1</w:t>
      </w:r>
      <w:r>
        <w:rPr>
          <w:rFonts w:hint="eastAsia" w:ascii="仿宋" w:hAnsi="仿宋" w:eastAsia="仿宋" w:cs="仿宋"/>
          <w:bCs/>
          <w:sz w:val="28"/>
          <w:szCs w:val="28"/>
          <w:highlight w:val="none"/>
          <w:u w:val="single"/>
        </w:rPr>
        <w:t>0,000</w:t>
      </w:r>
      <w:r>
        <w:rPr>
          <w:rFonts w:ascii="仿宋" w:hAnsi="仿宋" w:eastAsia="仿宋" w:cs="仿宋"/>
          <w:bCs/>
          <w:sz w:val="28"/>
          <w:szCs w:val="28"/>
          <w:highlight w:val="none"/>
          <w:u w:val="single"/>
        </w:rPr>
        <w:t>元</w:t>
      </w:r>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rPr>
        <w:t>。</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highlight w:val="none"/>
        </w:rPr>
        <w:t>2.因甲方使用的是财政资金，因此前款规定的甲方付款时间为甲方向政府财政支付部门提出办理财政支付申请手续的时间（不含政府</w:t>
      </w:r>
      <w:r>
        <w:rPr>
          <w:rFonts w:hint="eastAsia" w:ascii="仿宋" w:hAnsi="仿宋" w:eastAsia="仿宋" w:cs="仿宋_GB2312"/>
          <w:sz w:val="28"/>
          <w:szCs w:val="28"/>
        </w:rPr>
        <w:t>财政支付部门审核的时间），甲方在前款规定的时间内提出支付申请手续后即视为甲方已经按期支付，乙方对此没有异议。如因财政资金的下达、拨付问题导致付款延迟的，不视为甲方违约，乙方不能据此追究甲方逾期付款的违约责任。</w:t>
      </w:r>
    </w:p>
    <w:p>
      <w:pPr>
        <w:numPr>
          <w:ilvl w:val="0"/>
          <w:numId w:val="1"/>
        </w:numPr>
        <w:spacing w:line="56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开户名：</w:t>
      </w:r>
      <w:r>
        <w:rPr>
          <w:rFonts w:ascii="仿宋" w:hAnsi="仿宋" w:eastAsia="仿宋" w:cs="仿宋"/>
          <w:sz w:val="28"/>
          <w:szCs w:val="28"/>
          <w:u w:val="single"/>
        </w:rPr>
        <w:t xml:space="preserve">                        </w:t>
      </w:r>
    </w:p>
    <w:p>
      <w:pPr>
        <w:spacing w:line="56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开户行：</w:t>
      </w:r>
      <w:r>
        <w:rPr>
          <w:rFonts w:ascii="仿宋" w:hAnsi="仿宋" w:eastAsia="仿宋" w:cs="仿宋"/>
          <w:sz w:val="28"/>
          <w:szCs w:val="28"/>
          <w:u w:val="single"/>
        </w:rPr>
        <w:t xml:space="preserve">                        </w:t>
      </w:r>
    </w:p>
    <w:p>
      <w:pPr>
        <w:spacing w:line="56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账  号：</w:t>
      </w:r>
      <w:r>
        <w:rPr>
          <w:rFonts w:ascii="仿宋" w:hAnsi="仿宋" w:eastAsia="仿宋" w:cs="仿宋"/>
          <w:sz w:val="28"/>
          <w:szCs w:val="28"/>
          <w:u w:val="single"/>
        </w:rPr>
        <w:t xml:space="preserve">                        </w:t>
      </w:r>
    </w:p>
    <w:p>
      <w:pPr>
        <w:pStyle w:val="8"/>
        <w:numPr>
          <w:ilvl w:val="0"/>
          <w:numId w:val="1"/>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8"/>
        <w:spacing w:line="560" w:lineRule="exact"/>
        <w:ind w:firstLine="560" w:firstLineChars="200"/>
        <w:rPr>
          <w:rFonts w:hint="eastAsia" w:ascii="仿宋" w:hAnsi="仿宋" w:eastAsia="仿宋" w:cs="仿宋"/>
          <w:sz w:val="28"/>
          <w:szCs w:val="28"/>
          <w:lang w:bidi="ar"/>
        </w:rPr>
      </w:pPr>
      <w:r>
        <w:rPr>
          <w:rFonts w:hint="eastAsia" w:ascii="仿宋" w:hAnsi="仿宋" w:eastAsia="仿宋" w:cs="仿宋"/>
          <w:sz w:val="28"/>
          <w:szCs w:val="28"/>
          <w:lang w:bidi="ar"/>
        </w:rPr>
        <w:t>单位名称：江门市知识产权快速维权中心</w:t>
      </w:r>
    </w:p>
    <w:p>
      <w:pPr>
        <w:pStyle w:val="8"/>
        <w:spacing w:line="56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统一信用代码：12440700MB2D97573G</w:t>
      </w:r>
    </w:p>
    <w:p>
      <w:pPr>
        <w:spacing w:line="56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numPr>
          <w:ilvl w:val="0"/>
          <w:numId w:val="2"/>
        </w:numPr>
        <w:spacing w:line="560" w:lineRule="exact"/>
        <w:rPr>
          <w:rFonts w:ascii="仿宋" w:hAnsi="仿宋" w:eastAsia="仿宋" w:cs="仿宋"/>
          <w:sz w:val="28"/>
          <w:szCs w:val="28"/>
        </w:rPr>
      </w:pPr>
      <w:r>
        <w:rPr>
          <w:rFonts w:hint="eastAsia" w:ascii="仿宋" w:hAnsi="仿宋" w:eastAsia="仿宋" w:cs="仿宋"/>
          <w:sz w:val="28"/>
          <w:szCs w:val="28"/>
        </w:rPr>
        <w:t>本项目结束之日</w:t>
      </w:r>
      <w:r>
        <w:rPr>
          <w:rFonts w:hint="eastAsia" w:ascii="仿宋" w:hAnsi="仿宋" w:eastAsia="仿宋" w:cs="仿宋"/>
          <w:sz w:val="28"/>
          <w:szCs w:val="28"/>
          <w:highlight w:val="none"/>
        </w:rPr>
        <w:t>起</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7</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个</w:t>
      </w:r>
      <w:r>
        <w:rPr>
          <w:rFonts w:hint="eastAsia" w:ascii="仿宋" w:hAnsi="仿宋" w:eastAsia="仿宋" w:cs="仿宋"/>
          <w:sz w:val="28"/>
          <w:szCs w:val="28"/>
        </w:rPr>
        <w:t>工作日内，乙方应按采购公告、本合同约定及甲方要求提交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w:t>
      </w:r>
    </w:p>
    <w:p>
      <w:pPr>
        <w:numPr>
          <w:ilvl w:val="0"/>
          <w:numId w:val="2"/>
        </w:numPr>
        <w:spacing w:line="560" w:lineRule="exact"/>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行业规范或标准以及采购公告、本合同约定的技术、服务标准进行验收。</w:t>
      </w:r>
      <w:bookmarkStart w:id="0" w:name="_GoBack"/>
      <w:bookmarkEnd w:id="0"/>
    </w:p>
    <w:p>
      <w:pPr>
        <w:numPr>
          <w:ilvl w:val="0"/>
          <w:numId w:val="2"/>
        </w:numPr>
        <w:spacing w:line="560" w:lineRule="exact"/>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的，乙方应在甲方指定期限内采取弥补措施并再次提交给甲方验收；验收合格后由甲方和乙方共同签字确认。若经甲方验收未通过的，</w:t>
      </w:r>
      <w:r>
        <w:rPr>
          <w:rFonts w:hint="eastAsia" w:ascii="仿宋" w:hAnsi="仿宋" w:eastAsia="仿宋" w:cs="仿宋"/>
          <w:bCs/>
          <w:sz w:val="28"/>
          <w:szCs w:val="28"/>
          <w:lang w:eastAsia="zh-Hans"/>
        </w:rPr>
        <w:t>且</w:t>
      </w:r>
      <w:r>
        <w:rPr>
          <w:rFonts w:hint="eastAsia" w:ascii="仿宋" w:hAnsi="仿宋" w:eastAsia="仿宋" w:cs="仿宋"/>
          <w:bCs/>
          <w:sz w:val="28"/>
          <w:szCs w:val="28"/>
        </w:rPr>
        <w:t>甲方已经支付项目费用的，甲方有权扣减掉“甲方认为乙方提供符合要求的服务费用”后要求乙方将已收取款项剩余部分金额退回给甲方（乙方已经开具发票所产生的税费损失由乙方自行承担</w:t>
      </w:r>
      <w:r>
        <w:rPr>
          <w:rFonts w:hint="eastAsia" w:ascii="仿宋" w:hAnsi="仿宋" w:eastAsia="仿宋" w:cs="仿宋"/>
          <w:bCs/>
          <w:sz w:val="28"/>
          <w:szCs w:val="28"/>
          <w:lang w:eastAsia="zh-Hans"/>
        </w:rPr>
        <w:t>，也即不能要求甲方予以承担</w:t>
      </w:r>
      <w:r>
        <w:rPr>
          <w:rFonts w:hint="eastAsia" w:ascii="仿宋" w:hAnsi="仿宋" w:eastAsia="仿宋" w:cs="仿宋"/>
          <w:bCs/>
          <w:sz w:val="28"/>
          <w:szCs w:val="28"/>
        </w:rPr>
        <w:t>）。</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3"/>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项目实施期间，甲方有权向乙方提出建议或具体变更的要求，乙方应当按照甲方的要求执行；</w:t>
      </w:r>
    </w:p>
    <w:p>
      <w:pPr>
        <w:numPr>
          <w:ilvl w:val="0"/>
          <w:numId w:val="3"/>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根据甲、乙双方确定的项目计划，甲方有权督促乙方的实施情况，了解工作进度及开展情况。</w:t>
      </w:r>
    </w:p>
    <w:p>
      <w:pPr>
        <w:numPr>
          <w:ilvl w:val="0"/>
          <w:numId w:val="3"/>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甲方向乙方提供完成指定服务所必须的政策、资料信息，并协调合作期间所需的资讯、人员，以确保本项目如期顺利地进行。</w:t>
      </w:r>
    </w:p>
    <w:p>
      <w:pPr>
        <w:numPr>
          <w:ilvl w:val="0"/>
          <w:numId w:val="3"/>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4"/>
        </w:numPr>
        <w:adjustRightInd w:val="0"/>
        <w:snapToGrid w:val="0"/>
        <w:spacing w:line="560" w:lineRule="exact"/>
        <w:ind w:firstLine="560" w:firstLineChars="200"/>
        <w:jc w:val="left"/>
        <w:rPr>
          <w:rFonts w:ascii="仿宋" w:hAnsi="仿宋" w:eastAsia="仿宋" w:cs="仿宋"/>
          <w:sz w:val="28"/>
          <w:szCs w:val="28"/>
          <w:lang w:bidi="ar"/>
        </w:rPr>
      </w:pPr>
      <w:r>
        <w:rPr>
          <w:rFonts w:hint="eastAsia" w:ascii="仿宋" w:hAnsi="仿宋" w:eastAsia="仿宋" w:cs="仿宋"/>
          <w:sz w:val="28"/>
          <w:szCs w:val="28"/>
          <w:lang w:bidi="ar"/>
        </w:rPr>
        <w:t>乙方应当根据采购公告、甲方的要求做出工作实施方案，经甲方审定后，乙方应根据甲方审定后的工作方案按时按质完成项目服务内容。</w:t>
      </w:r>
    </w:p>
    <w:p>
      <w:pPr>
        <w:numPr>
          <w:ilvl w:val="0"/>
          <w:numId w:val="4"/>
        </w:num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乙方必须对本项目实施过程中接触的相关企业和甲方的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否则，乙方应当依法承担相应的法律责任包</w:t>
      </w:r>
      <w:r>
        <w:rPr>
          <w:rFonts w:hint="eastAsia" w:ascii="仿宋" w:hAnsi="仿宋" w:eastAsia="仿宋" w:cs="仿宋"/>
          <w:sz w:val="28"/>
          <w:szCs w:val="28"/>
          <w:lang w:bidi="ar"/>
        </w:rPr>
        <w:t>括但不限于律师费、诉讼费、赔偿款、交通费、调查费等</w:t>
      </w:r>
      <w:r>
        <w:rPr>
          <w:rFonts w:hint="eastAsia" w:ascii="仿宋" w:hAnsi="仿宋" w:eastAsia="仿宋" w:cs="仿宋"/>
          <w:sz w:val="28"/>
          <w:szCs w:val="28"/>
        </w:rPr>
        <w:t>。前述信息资料</w:t>
      </w:r>
      <w:r>
        <w:rPr>
          <w:rFonts w:hint="eastAsia" w:ascii="仿宋" w:hAnsi="仿宋" w:eastAsia="仿宋" w:cs="仿宋"/>
          <w:sz w:val="28"/>
          <w:szCs w:val="28"/>
          <w:lang w:val="zh-CN"/>
        </w:rPr>
        <w:t>均属于永久保密期限范围，均对乙方有约束力，不因合同的变更、解除、终止而终止</w:t>
      </w:r>
      <w:r>
        <w:rPr>
          <w:rFonts w:hint="eastAsia" w:ascii="仿宋" w:hAnsi="仿宋" w:eastAsia="仿宋" w:cs="仿宋"/>
          <w:sz w:val="28"/>
          <w:szCs w:val="28"/>
          <w:lang w:bidi="ar"/>
        </w:rPr>
        <w:t>；</w:t>
      </w:r>
    </w:p>
    <w:p>
      <w:pPr>
        <w:numPr>
          <w:ilvl w:val="0"/>
          <w:numId w:val="4"/>
        </w:num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乙方有权要求甲方按照本合同约定支付相应款项</w:t>
      </w:r>
      <w:r>
        <w:rPr>
          <w:rFonts w:hint="eastAsia" w:ascii="仿宋" w:hAnsi="仿宋" w:eastAsia="仿宋" w:cs="仿宋"/>
          <w:sz w:val="28"/>
          <w:szCs w:val="28"/>
        </w:rPr>
        <w:t>。</w:t>
      </w:r>
    </w:p>
    <w:p>
      <w:pPr>
        <w:numPr>
          <w:ilvl w:val="0"/>
          <w:numId w:val="5"/>
        </w:numPr>
        <w:spacing w:line="560" w:lineRule="exact"/>
        <w:rPr>
          <w:rFonts w:ascii="仿宋" w:hAnsi="仿宋" w:eastAsia="仿宋" w:cs="仿宋"/>
          <w:b/>
          <w:bCs/>
          <w:sz w:val="28"/>
          <w:szCs w:val="28"/>
        </w:rPr>
      </w:pPr>
      <w:r>
        <w:rPr>
          <w:rFonts w:hint="eastAsia" w:ascii="仿宋" w:hAnsi="仿宋" w:eastAsia="仿宋" w:cs="仿宋"/>
          <w:b/>
          <w:bCs/>
          <w:sz w:val="28"/>
          <w:szCs w:val="28"/>
        </w:rPr>
        <w:t xml:space="preserve"> 知识产权归属</w:t>
      </w:r>
    </w:p>
    <w:p>
      <w:pPr>
        <w:numPr>
          <w:ilvl w:val="0"/>
          <w:numId w:val="6"/>
        </w:numPr>
        <w:tabs>
          <w:tab w:val="left" w:pos="720"/>
        </w:tabs>
        <w:adjustRightInd w:val="0"/>
        <w:spacing w:line="560" w:lineRule="exact"/>
        <w:rPr>
          <w:rFonts w:ascii="仿宋" w:hAnsi="仿宋" w:eastAsia="仿宋" w:cs="仿宋_GB2312"/>
          <w:sz w:val="28"/>
          <w:szCs w:val="28"/>
        </w:rPr>
      </w:pPr>
      <w:r>
        <w:rPr>
          <w:rFonts w:hint="eastAsia" w:ascii="仿宋" w:hAnsi="仿宋" w:eastAsia="仿宋" w:cs="仿宋"/>
          <w:sz w:val="28"/>
          <w:szCs w:val="28"/>
        </w:rPr>
        <w:t>乙方根据本合同向甲方提供的资料及其所包含的图形、图片、文字等素材以及因本合同产生的作品（包括但不限于任何图案、图像、文字等），其知识产权和其他权益均归甲方所有，未经甲方事先书面许可乙方不得为本合同之外的任何目的、以任何形式自行使用或擅自许可任何第三方使用</w:t>
      </w:r>
      <w:r>
        <w:rPr>
          <w:rFonts w:hint="eastAsia" w:ascii="仿宋" w:hAnsi="仿宋" w:eastAsia="仿宋" w:cs="仿宋_GB2312"/>
          <w:sz w:val="28"/>
          <w:szCs w:val="28"/>
        </w:rPr>
        <w:t>。</w:t>
      </w:r>
    </w:p>
    <w:p>
      <w:pPr>
        <w:numPr>
          <w:ilvl w:val="0"/>
          <w:numId w:val="6"/>
        </w:numPr>
        <w:tabs>
          <w:tab w:val="left" w:pos="720"/>
        </w:tabs>
        <w:adjustRightInd w:val="0"/>
        <w:spacing w:line="560" w:lineRule="exact"/>
        <w:rPr>
          <w:rFonts w:ascii="仿宋" w:hAnsi="仿宋" w:eastAsia="仿宋" w:cs="仿宋"/>
          <w:sz w:val="28"/>
          <w:szCs w:val="28"/>
        </w:rPr>
      </w:pPr>
      <w:r>
        <w:rPr>
          <w:rFonts w:hint="eastAsia" w:ascii="仿宋" w:hAnsi="仿宋" w:eastAsia="仿宋" w:cs="仿宋"/>
          <w:sz w:val="28"/>
          <w:szCs w:val="28"/>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r>
        <w:rPr>
          <w:rFonts w:hint="eastAsia" w:ascii="仿宋" w:hAnsi="仿宋" w:eastAsia="仿宋" w:cs="仿宋_GB2312"/>
          <w:sz w:val="28"/>
          <w:szCs w:val="28"/>
        </w:rPr>
        <w:t>。</w:t>
      </w:r>
    </w:p>
    <w:p>
      <w:pPr>
        <w:numPr>
          <w:ilvl w:val="255"/>
          <w:numId w:val="0"/>
        </w:numPr>
        <w:spacing w:line="560" w:lineRule="exact"/>
        <w:rPr>
          <w:rFonts w:ascii="仿宋" w:hAnsi="仿宋" w:eastAsia="仿宋" w:cs="仿宋"/>
          <w:b/>
          <w:bCs/>
          <w:sz w:val="28"/>
          <w:szCs w:val="28"/>
        </w:rPr>
      </w:pPr>
      <w:r>
        <w:rPr>
          <w:rFonts w:hint="eastAsia" w:ascii="仿宋" w:hAnsi="仿宋" w:eastAsia="仿宋" w:cs="仿宋"/>
          <w:b/>
          <w:bCs/>
          <w:sz w:val="28"/>
          <w:szCs w:val="28"/>
        </w:rPr>
        <w:t>第七条  不可抗力</w:t>
      </w:r>
    </w:p>
    <w:p>
      <w:pPr>
        <w:numPr>
          <w:ilvl w:val="0"/>
          <w:numId w:val="7"/>
        </w:numPr>
        <w:spacing w:line="56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7"/>
        </w:numPr>
        <w:spacing w:line="56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7"/>
        </w:numPr>
        <w:spacing w:line="56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第八条  违约责任</w:t>
      </w:r>
    </w:p>
    <w:p>
      <w:pPr>
        <w:numPr>
          <w:ilvl w:val="0"/>
          <w:numId w:val="8"/>
        </w:numPr>
        <w:spacing w:line="560" w:lineRule="exact"/>
        <w:rPr>
          <w:rFonts w:ascii="仿宋" w:hAnsi="仿宋" w:eastAsia="仿宋" w:cs="仿宋"/>
          <w:sz w:val="28"/>
          <w:szCs w:val="28"/>
        </w:rPr>
      </w:pPr>
      <w:r>
        <w:rPr>
          <w:rFonts w:hint="eastAsia" w:ascii="仿宋" w:hAnsi="仿宋" w:eastAsia="仿宋" w:cs="仿宋"/>
          <w:sz w:val="28"/>
          <w:szCs w:val="28"/>
        </w:rPr>
        <w:t>甲方的违约责任：</w:t>
      </w:r>
    </w:p>
    <w:p>
      <w:pPr>
        <w:numPr>
          <w:ilvl w:val="255"/>
          <w:numId w:val="0"/>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8"/>
        </w:numPr>
        <w:spacing w:line="56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1.乙方未按照合同约定及时提交项目成果性文件或逾期完成项目工作的，从逾期之日起，甲方有权要求乙方按本项目技术服务总费用的日千分之一向甲方支付违约金直到乙方提交或者完成之日止。</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（2）乙方因自身原因不能提供服务（不包括本条第1点的情形）或提供的服务质量不符合本合同约定以及相关法律法规规定的，甲方有权拒收；</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（3）未经甲方同意，乙方不得将本合同项目部分或全部技术服务工作转让第三人负责。</w:t>
      </w:r>
    </w:p>
    <w:p>
      <w:pPr>
        <w:spacing w:line="560" w:lineRule="exact"/>
        <w:rPr>
          <w:rFonts w:ascii="仿宋" w:hAnsi="仿宋" w:eastAsia="仿宋" w:cs="仿宋"/>
          <w:sz w:val="28"/>
          <w:szCs w:val="28"/>
        </w:rPr>
      </w:pPr>
      <w:r>
        <w:rPr>
          <w:rFonts w:hint="eastAsia" w:ascii="仿宋" w:hAnsi="仿宋" w:eastAsia="仿宋" w:cs="仿宋"/>
          <w:b/>
          <w:bCs/>
          <w:sz w:val="28"/>
          <w:szCs w:val="28"/>
        </w:rPr>
        <w:t>第九条  双方确定，出现下列情形，致使本合同的履行成为不必要或不能的，可以解除本合同：</w:t>
      </w:r>
    </w:p>
    <w:p>
      <w:pPr>
        <w:numPr>
          <w:ilvl w:val="0"/>
          <w:numId w:val="9"/>
        </w:numPr>
        <w:spacing w:line="56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9"/>
        </w:numPr>
        <w:spacing w:line="56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9"/>
        </w:numPr>
        <w:spacing w:line="56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第十条  争议的解决办法</w:t>
      </w:r>
    </w:p>
    <w:p>
      <w:pPr>
        <w:numPr>
          <w:ilvl w:val="255"/>
          <w:numId w:val="0"/>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560" w:lineRule="exact"/>
        <w:jc w:val="left"/>
        <w:rPr>
          <w:rFonts w:ascii="仿宋" w:hAnsi="仿宋" w:eastAsia="仿宋" w:cs="仿宋"/>
          <w:b/>
          <w:bCs/>
          <w:sz w:val="28"/>
          <w:szCs w:val="28"/>
        </w:rPr>
      </w:pPr>
      <w:r>
        <w:rPr>
          <w:rFonts w:hint="eastAsia" w:ascii="仿宋" w:hAnsi="仿宋" w:eastAsia="仿宋" w:cs="仿宋"/>
          <w:b/>
          <w:bCs/>
          <w:sz w:val="28"/>
          <w:szCs w:val="28"/>
        </w:rPr>
        <w:t>第十一条 其他</w:t>
      </w:r>
    </w:p>
    <w:p>
      <w:pPr>
        <w:numPr>
          <w:ilvl w:val="0"/>
          <w:numId w:val="10"/>
        </w:numPr>
        <w:spacing w:line="56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10"/>
        </w:numPr>
        <w:spacing w:line="560" w:lineRule="exact"/>
        <w:rPr>
          <w:rFonts w:ascii="仿宋" w:hAnsi="仿宋" w:eastAsia="仿宋" w:cs="仿宋"/>
          <w:sz w:val="28"/>
          <w:szCs w:val="28"/>
        </w:rPr>
      </w:pPr>
      <w:r>
        <w:rPr>
          <w:rFonts w:hint="eastAsia" w:ascii="仿宋" w:hAnsi="仿宋" w:eastAsia="仿宋" w:cs="仿宋"/>
          <w:sz w:val="28"/>
          <w:szCs w:val="28"/>
        </w:rPr>
        <w:t>甲、乙双方在本合同项下的地址和联系方式为文件有效的送达地址，对方的文件、司法机关的文件以及合同解除的通知一经到达或退回即视为送达；一方如有变更，应在变更前3日内书面通知对方，否则，视为未变更。</w:t>
      </w:r>
    </w:p>
    <w:p>
      <w:pPr>
        <w:numPr>
          <w:ilvl w:val="0"/>
          <w:numId w:val="10"/>
        </w:numPr>
        <w:spacing w:line="560" w:lineRule="exact"/>
        <w:rPr>
          <w:rFonts w:ascii="仿宋" w:hAnsi="仿宋" w:eastAsia="仿宋" w:cs="仿宋"/>
          <w:sz w:val="28"/>
          <w:szCs w:val="28"/>
        </w:rPr>
      </w:pPr>
      <w:r>
        <w:rPr>
          <w:rFonts w:hint="eastAsia" w:ascii="仿宋" w:hAnsi="仿宋" w:eastAsia="仿宋" w:cs="仿宋"/>
          <w:sz w:val="28"/>
          <w:szCs w:val="28"/>
        </w:rPr>
        <w:t>本合同一式肆份，甲方执叁份、乙方执壹份，具有同等法律效力；自甲、乙双方签字盖章之日起生效。</w:t>
      </w:r>
    </w:p>
    <w:p>
      <w:pPr>
        <w:pStyle w:val="9"/>
        <w:numPr>
          <w:ilvl w:val="0"/>
          <w:numId w:val="10"/>
        </w:numPr>
        <w:spacing w:line="560" w:lineRule="exact"/>
        <w:ind w:firstLineChars="0"/>
        <w:rPr>
          <w:rFonts w:ascii="仿宋" w:hAnsi="仿宋" w:eastAsia="仿宋" w:cs="仿宋"/>
          <w:szCs w:val="28"/>
          <w:highlight w:val="none"/>
        </w:rPr>
      </w:pPr>
      <w:r>
        <w:rPr>
          <w:rFonts w:hint="eastAsia" w:ascii="仿宋" w:hAnsi="仿宋" w:eastAsia="仿宋" w:cs="仿宋"/>
          <w:szCs w:val="28"/>
          <w:highlight w:val="none"/>
        </w:rPr>
        <w:t>以下为本合同附件，与本合同具有同等效力：</w:t>
      </w:r>
    </w:p>
    <w:p>
      <w:pPr>
        <w:pStyle w:val="9"/>
        <w:numPr>
          <w:ilvl w:val="0"/>
          <w:numId w:val="11"/>
        </w:numPr>
        <w:spacing w:line="560" w:lineRule="exact"/>
        <w:ind w:firstLine="608"/>
        <w:rPr>
          <w:rFonts w:ascii="仿宋" w:hAnsi="仿宋" w:eastAsia="仿宋" w:cs="仿宋"/>
          <w:szCs w:val="28"/>
          <w:highlight w:val="none"/>
        </w:rPr>
      </w:pPr>
      <w:r>
        <w:rPr>
          <w:rFonts w:hint="eastAsia" w:ascii="仿宋" w:hAnsi="仿宋" w:eastAsia="仿宋" w:cs="仿宋"/>
          <w:bCs/>
          <w:szCs w:val="28"/>
          <w:highlight w:val="none"/>
        </w:rPr>
        <w:t>江门市知识产权快速维权中心知识产权产业信息分析服务项目</w:t>
      </w:r>
      <w:r>
        <w:rPr>
          <w:rFonts w:hint="eastAsia" w:ascii="仿宋" w:hAnsi="仿宋" w:eastAsia="仿宋" w:cs="仿宋"/>
          <w:szCs w:val="28"/>
          <w:highlight w:val="none"/>
          <w:lang w:bidi="ar"/>
        </w:rPr>
        <w:t>采购公告</w:t>
      </w:r>
      <w:r>
        <w:rPr>
          <w:rFonts w:hint="eastAsia" w:ascii="仿宋" w:hAnsi="仿宋" w:eastAsia="仿宋" w:cs="仿宋"/>
          <w:szCs w:val="28"/>
          <w:highlight w:val="none"/>
        </w:rPr>
        <w:t>；</w:t>
      </w:r>
    </w:p>
    <w:p>
      <w:pPr>
        <w:pStyle w:val="9"/>
        <w:numPr>
          <w:ilvl w:val="0"/>
          <w:numId w:val="11"/>
        </w:numPr>
        <w:spacing w:line="560" w:lineRule="exact"/>
        <w:ind w:firstLine="608"/>
        <w:rPr>
          <w:rFonts w:ascii="仿宋" w:hAnsi="仿宋" w:eastAsia="仿宋" w:cs="仿宋"/>
          <w:szCs w:val="28"/>
          <w:highlight w:val="none"/>
        </w:rPr>
      </w:pPr>
      <w:r>
        <w:rPr>
          <w:rFonts w:hint="eastAsia" w:ascii="仿宋" w:hAnsi="仿宋" w:eastAsia="仿宋" w:cs="仿宋"/>
          <w:bCs/>
          <w:szCs w:val="28"/>
          <w:highlight w:val="none"/>
        </w:rPr>
        <w:t>江门市知识产权快速维权中心</w:t>
      </w:r>
      <w:r>
        <w:rPr>
          <w:rFonts w:hint="eastAsia" w:ascii="仿宋" w:hAnsi="仿宋" w:eastAsia="仿宋" w:cs="仿宋"/>
          <w:szCs w:val="28"/>
          <w:highlight w:val="none"/>
        </w:rPr>
        <w:t>相关项目采购结果公告；</w:t>
      </w:r>
    </w:p>
    <w:p>
      <w:pPr>
        <w:pStyle w:val="9"/>
        <w:numPr>
          <w:ilvl w:val="0"/>
          <w:numId w:val="11"/>
        </w:numPr>
        <w:spacing w:line="560" w:lineRule="exact"/>
        <w:ind w:firstLine="608"/>
        <w:rPr>
          <w:rFonts w:ascii="仿宋" w:hAnsi="仿宋" w:eastAsia="仿宋" w:cs="仿宋"/>
          <w:szCs w:val="28"/>
          <w:highlight w:val="none"/>
        </w:rPr>
      </w:pPr>
      <w:r>
        <w:rPr>
          <w:rFonts w:hint="eastAsia" w:ascii="仿宋" w:hAnsi="仿宋" w:eastAsia="仿宋" w:cs="仿宋"/>
          <w:szCs w:val="28"/>
          <w:highlight w:val="none"/>
        </w:rPr>
        <w:t>其他附件及补充协议等资料。</w:t>
      </w:r>
    </w:p>
    <w:p>
      <w:pPr>
        <w:spacing w:before="156" w:beforeLines="50" w:line="56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pStyle w:val="9"/>
        <w:spacing w:line="560" w:lineRule="exact"/>
        <w:ind w:left="0" w:firstLine="0" w:firstLineChars="0"/>
        <w:rPr>
          <w:rFonts w:ascii="仿宋" w:hAnsi="仿宋" w:eastAsia="仿宋" w:cs="仿宋"/>
          <w:szCs w:val="28"/>
        </w:rPr>
      </w:pPr>
    </w:p>
    <w:p>
      <w:pPr>
        <w:pStyle w:val="9"/>
        <w:spacing w:line="560" w:lineRule="exact"/>
        <w:ind w:firstLine="608"/>
        <w:rPr>
          <w:rFonts w:ascii="仿宋" w:hAnsi="仿宋" w:eastAsia="仿宋" w:cs="仿宋"/>
          <w:szCs w:val="28"/>
        </w:rPr>
      </w:pPr>
    </w:p>
    <w:p>
      <w:pPr>
        <w:pStyle w:val="9"/>
        <w:spacing w:line="560" w:lineRule="exact"/>
        <w:ind w:firstLine="608"/>
        <w:rPr>
          <w:rFonts w:ascii="仿宋" w:hAnsi="仿宋" w:eastAsia="仿宋" w:cs="仿宋"/>
          <w:szCs w:val="28"/>
        </w:rPr>
      </w:pPr>
    </w:p>
    <w:p>
      <w:pPr>
        <w:pStyle w:val="9"/>
        <w:spacing w:line="560" w:lineRule="exact"/>
        <w:ind w:firstLine="608"/>
        <w:rPr>
          <w:rFonts w:ascii="仿宋" w:hAnsi="仿宋" w:eastAsia="仿宋" w:cs="仿宋"/>
          <w:szCs w:val="28"/>
        </w:rPr>
      </w:pPr>
    </w:p>
    <w:p>
      <w:pPr>
        <w:pStyle w:val="9"/>
        <w:spacing w:line="560" w:lineRule="exact"/>
        <w:ind w:firstLine="608"/>
        <w:rPr>
          <w:rFonts w:ascii="仿宋" w:hAnsi="仿宋" w:eastAsia="仿宋" w:cs="仿宋"/>
          <w:szCs w:val="28"/>
        </w:rPr>
      </w:pPr>
    </w:p>
    <w:p>
      <w:pPr>
        <w:pStyle w:val="9"/>
        <w:spacing w:line="560" w:lineRule="exact"/>
        <w:ind w:firstLine="608"/>
        <w:rPr>
          <w:rFonts w:ascii="仿宋" w:hAnsi="仿宋" w:eastAsia="仿宋" w:cs="仿宋"/>
          <w:szCs w:val="28"/>
        </w:rPr>
      </w:pPr>
    </w:p>
    <w:p>
      <w:pPr>
        <w:spacing w:line="560" w:lineRule="exact"/>
        <w:ind w:firstLine="560"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：江门市知识产权快速维权中心  </w:t>
      </w:r>
    </w:p>
    <w:p>
      <w:pPr>
        <w:spacing w:line="56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56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w:t>
      </w:r>
    </w:p>
    <w:p>
      <w:pPr>
        <w:spacing w:line="56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56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56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方正黑体_GBK">
    <w:panose1 w:val="02000000000000000000"/>
    <w:charset w:val="86"/>
    <w:family w:val="auto"/>
    <w:pitch w:val="default"/>
    <w:sig w:usb0="00000001" w:usb1="0800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3409A2B"/>
    <w:multiLevelType w:val="singleLevel"/>
    <w:tmpl w:val="03409A2B"/>
    <w:lvl w:ilvl="0" w:tentative="0">
      <w:start w:val="6"/>
      <w:numFmt w:val="chineseCounting"/>
      <w:suff w:val="space"/>
      <w:lvlText w:val="第%1条"/>
      <w:lvlJc w:val="left"/>
      <w:rPr>
        <w:rFonts w:hint="eastAsia"/>
      </w:rPr>
    </w:lvl>
  </w:abstractNum>
  <w:abstractNum w:abstractNumId="4">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5">
    <w:nsid w:val="31754F42"/>
    <w:multiLevelType w:val="singleLevel"/>
    <w:tmpl w:val="31754F42"/>
    <w:lvl w:ilvl="0" w:tentative="0">
      <w:start w:val="1"/>
      <w:numFmt w:val="chineseCounting"/>
      <w:suff w:val="nothing"/>
      <w:lvlText w:val="（%1）"/>
      <w:lvlJc w:val="left"/>
      <w:pPr>
        <w:ind w:left="0" w:firstLine="420"/>
      </w:pPr>
      <w:rPr>
        <w:rFonts w:hint="eastAsia"/>
      </w:rPr>
    </w:lvl>
  </w:abstractNum>
  <w:abstractNum w:abstractNumId="6">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7">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8">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9">
    <w:nsid w:val="6A04167C"/>
    <w:multiLevelType w:val="singleLevel"/>
    <w:tmpl w:val="6A04167C"/>
    <w:lvl w:ilvl="0" w:tentative="0">
      <w:start w:val="1"/>
      <w:numFmt w:val="chineseCounting"/>
      <w:suff w:val="nothing"/>
      <w:lvlText w:val="（%1）"/>
      <w:lvlJc w:val="left"/>
      <w:pPr>
        <w:ind w:left="0" w:firstLine="420"/>
      </w:pPr>
      <w:rPr>
        <w:rFonts w:hint="eastAsia"/>
      </w:rPr>
    </w:lvl>
  </w:abstractNum>
  <w:abstractNum w:abstractNumId="10">
    <w:nsid w:val="71601D23"/>
    <w:multiLevelType w:val="singleLevel"/>
    <w:tmpl w:val="71601D23"/>
    <w:lvl w:ilvl="0" w:tentative="0">
      <w:start w:val="1"/>
      <w:numFmt w:val="chineseCounting"/>
      <w:suff w:val="nothing"/>
      <w:lvlText w:val="（%1）"/>
      <w:lvlJc w:val="left"/>
      <w:pPr>
        <w:ind w:left="0" w:firstLine="420"/>
      </w:pPr>
      <w:rPr>
        <w:rFonts w:hint="eastAsia"/>
      </w:rPr>
    </w:lvl>
  </w:abstractNum>
  <w:num w:numId="1">
    <w:abstractNumId w:val="4"/>
  </w:num>
  <w:num w:numId="2">
    <w:abstractNumId w:val="5"/>
  </w:num>
  <w:num w:numId="3">
    <w:abstractNumId w:val="9"/>
  </w:num>
  <w:num w:numId="4">
    <w:abstractNumId w:val="1"/>
  </w:num>
  <w:num w:numId="5">
    <w:abstractNumId w:val="3"/>
  </w:num>
  <w:num w:numId="6">
    <w:abstractNumId w:val="10"/>
  </w:num>
  <w:num w:numId="7">
    <w:abstractNumId w:val="7"/>
  </w:num>
  <w:num w:numId="8">
    <w:abstractNumId w:val="6"/>
  </w:num>
  <w:num w:numId="9">
    <w:abstractNumId w:val="2"/>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1ZmEwOGYxMTU3ZmRlYzVmYmQ2NzcwOWQ0NDdkOWEifQ=="/>
  </w:docVars>
  <w:rsids>
    <w:rsidRoot w:val="008629F6"/>
    <w:rsid w:val="000C7652"/>
    <w:rsid w:val="0017168E"/>
    <w:rsid w:val="00193BDB"/>
    <w:rsid w:val="00201EA2"/>
    <w:rsid w:val="002143D7"/>
    <w:rsid w:val="00282D05"/>
    <w:rsid w:val="002C49BA"/>
    <w:rsid w:val="003165F5"/>
    <w:rsid w:val="0035122F"/>
    <w:rsid w:val="00401D23"/>
    <w:rsid w:val="004A3BF5"/>
    <w:rsid w:val="00502A52"/>
    <w:rsid w:val="00510F17"/>
    <w:rsid w:val="0057536D"/>
    <w:rsid w:val="006010FD"/>
    <w:rsid w:val="006175A9"/>
    <w:rsid w:val="006202FE"/>
    <w:rsid w:val="006A7F32"/>
    <w:rsid w:val="006F58CD"/>
    <w:rsid w:val="00715B62"/>
    <w:rsid w:val="007353A8"/>
    <w:rsid w:val="00772CCD"/>
    <w:rsid w:val="00784E77"/>
    <w:rsid w:val="007B1061"/>
    <w:rsid w:val="007B7D3B"/>
    <w:rsid w:val="00857D56"/>
    <w:rsid w:val="00861501"/>
    <w:rsid w:val="008629F6"/>
    <w:rsid w:val="00867F79"/>
    <w:rsid w:val="008E4A53"/>
    <w:rsid w:val="00962AB9"/>
    <w:rsid w:val="009E5334"/>
    <w:rsid w:val="00A10901"/>
    <w:rsid w:val="00AD1C10"/>
    <w:rsid w:val="00B52496"/>
    <w:rsid w:val="00BC179C"/>
    <w:rsid w:val="00CB1CF5"/>
    <w:rsid w:val="00CE1CBE"/>
    <w:rsid w:val="00D23DA8"/>
    <w:rsid w:val="00D90698"/>
    <w:rsid w:val="00DC2AE3"/>
    <w:rsid w:val="00E57922"/>
    <w:rsid w:val="00E82D8C"/>
    <w:rsid w:val="00E952F4"/>
    <w:rsid w:val="00F24B57"/>
    <w:rsid w:val="00F417D2"/>
    <w:rsid w:val="00F62754"/>
    <w:rsid w:val="00F76D18"/>
    <w:rsid w:val="00FA3A92"/>
    <w:rsid w:val="00FC0857"/>
    <w:rsid w:val="00FC585E"/>
    <w:rsid w:val="05B73E89"/>
    <w:rsid w:val="06090983"/>
    <w:rsid w:val="099D288A"/>
    <w:rsid w:val="09D77ACF"/>
    <w:rsid w:val="09DE0A66"/>
    <w:rsid w:val="0AF740DB"/>
    <w:rsid w:val="0BEA35C3"/>
    <w:rsid w:val="0CD1295E"/>
    <w:rsid w:val="0DDF3CA5"/>
    <w:rsid w:val="0FB72321"/>
    <w:rsid w:val="10FC4243"/>
    <w:rsid w:val="12F319EB"/>
    <w:rsid w:val="143E0A70"/>
    <w:rsid w:val="160C41FE"/>
    <w:rsid w:val="171724B5"/>
    <w:rsid w:val="1A19383D"/>
    <w:rsid w:val="1E780EED"/>
    <w:rsid w:val="20075F93"/>
    <w:rsid w:val="24EA28FA"/>
    <w:rsid w:val="24EE444C"/>
    <w:rsid w:val="28F2788A"/>
    <w:rsid w:val="293A0576"/>
    <w:rsid w:val="29C106EB"/>
    <w:rsid w:val="2D016C87"/>
    <w:rsid w:val="2F027959"/>
    <w:rsid w:val="2F391B33"/>
    <w:rsid w:val="33FC47D9"/>
    <w:rsid w:val="391A5AE0"/>
    <w:rsid w:val="3B19643C"/>
    <w:rsid w:val="3BB23044"/>
    <w:rsid w:val="3FA76621"/>
    <w:rsid w:val="404A6C17"/>
    <w:rsid w:val="417C715E"/>
    <w:rsid w:val="43F43818"/>
    <w:rsid w:val="452404E0"/>
    <w:rsid w:val="453851EC"/>
    <w:rsid w:val="454308F0"/>
    <w:rsid w:val="47C7B3FB"/>
    <w:rsid w:val="481348F4"/>
    <w:rsid w:val="4B562BFB"/>
    <w:rsid w:val="4D261BEA"/>
    <w:rsid w:val="4DD70C4E"/>
    <w:rsid w:val="4EE2057D"/>
    <w:rsid w:val="520371FE"/>
    <w:rsid w:val="526E4AB6"/>
    <w:rsid w:val="5789094D"/>
    <w:rsid w:val="5A6B35D5"/>
    <w:rsid w:val="5BB2671C"/>
    <w:rsid w:val="5F662158"/>
    <w:rsid w:val="63540324"/>
    <w:rsid w:val="63A745D5"/>
    <w:rsid w:val="65415E9E"/>
    <w:rsid w:val="662014B9"/>
    <w:rsid w:val="67BBA75B"/>
    <w:rsid w:val="690D3BC4"/>
    <w:rsid w:val="693B3F28"/>
    <w:rsid w:val="693C4870"/>
    <w:rsid w:val="6B7E7578"/>
    <w:rsid w:val="6BD7D8B2"/>
    <w:rsid w:val="6C7B1287"/>
    <w:rsid w:val="6D8F7300"/>
    <w:rsid w:val="6E494777"/>
    <w:rsid w:val="6E66103F"/>
    <w:rsid w:val="6F3831F6"/>
    <w:rsid w:val="6F5F4F93"/>
    <w:rsid w:val="6FAF0487"/>
    <w:rsid w:val="70A44682"/>
    <w:rsid w:val="72AF67A9"/>
    <w:rsid w:val="76A81E4D"/>
    <w:rsid w:val="79276609"/>
    <w:rsid w:val="7B4F803D"/>
    <w:rsid w:val="7B4FB7DD"/>
    <w:rsid w:val="7BBD089B"/>
    <w:rsid w:val="7EFEE140"/>
    <w:rsid w:val="7FF7FB7B"/>
    <w:rsid w:val="8BFD55A2"/>
    <w:rsid w:val="A72FA82B"/>
    <w:rsid w:val="A7FE5BEE"/>
    <w:rsid w:val="AF77397A"/>
    <w:rsid w:val="AFBB4F00"/>
    <w:rsid w:val="BC3C0FF1"/>
    <w:rsid w:val="E2F779BE"/>
    <w:rsid w:val="E37D29B8"/>
    <w:rsid w:val="EBF5F4DA"/>
    <w:rsid w:val="F2E7136C"/>
    <w:rsid w:val="FDEDE245"/>
    <w:rsid w:val="FF6760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3"/>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Body Text First Indent 2"/>
    <w:basedOn w:val="4"/>
    <w:qFormat/>
    <w:uiPriority w:val="0"/>
    <w:pPr>
      <w:ind w:firstLine="420" w:firstLineChars="200"/>
    </w:pPr>
    <w:rPr>
      <w:rFonts w:ascii="宋体" w:hAnsi="MS Sans Serif"/>
      <w:spacing w:val="12"/>
    </w:rPr>
  </w:style>
  <w:style w:type="paragraph" w:customStyle="1" w:styleId="12">
    <w:name w:val="普通(网站)1"/>
    <w:basedOn w:val="1"/>
    <w:qFormat/>
    <w:uiPriority w:val="0"/>
    <w:pPr>
      <w:jc w:val="left"/>
    </w:pPr>
    <w:rPr>
      <w:rFonts w:ascii="Calibri" w:hAnsi="Calibri" w:cs="黑体"/>
      <w:kern w:val="0"/>
      <w:sz w:val="24"/>
      <w:szCs w:val="24"/>
    </w:rPr>
  </w:style>
  <w:style w:type="character" w:customStyle="1" w:styleId="13">
    <w:name w:val="批注框文本 Char"/>
    <w:basedOn w:val="11"/>
    <w:link w:val="5"/>
    <w:qFormat/>
    <w:uiPriority w:val="0"/>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9</Pages>
  <Words>631</Words>
  <Characters>3603</Characters>
  <Lines>30</Lines>
  <Paragraphs>8</Paragraphs>
  <TotalTime>92</TotalTime>
  <ScaleCrop>false</ScaleCrop>
  <LinksUpToDate>false</LinksUpToDate>
  <CharactersWithSpaces>4226</CharactersWithSpaces>
  <Application>WPS Office_11.8.2.11880_F1E327BC-269C-435d-A152-05C5408002CA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2021-12-07T19:20:00Z</dcterms:created>
  <dc:creator>Administrator</dc:creator>
  <cp:lastModifiedBy>greatwall</cp:lastModifiedBy>
  <cp:lastPrinted>2023-10-23T14:39:40Z</cp:lastPrinted>
  <dcterms:modified xsi:type="dcterms:W3CDTF">2023-10-23T14:48:39Z</dcterms:modified>
  <dc:title>2020年江门市工业产品生产许可证证后</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2052-11.8.2.11880</vt:lpwstr>
  </property>
  <property fmtid="{D5CDD505-2E9C-101B-9397-08002B2CF9AE}" pid="3" name="ICV">
    <vt:lpwstr>CCA3D75137E743A5A5AB955FF8C3FD85_13</vt:lpwstr>
  </property>
</Properties>
</file>