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w:t>
      </w:r>
      <w:r>
        <w:rPr>
          <w:rFonts w:hint="eastAsia" w:ascii="方正小标宋简体" w:hAnsi="方正小标宋简体" w:eastAsia="方正小标宋简体" w:cs="方正小标宋简体"/>
          <w:bCs/>
          <w:sz w:val="44"/>
          <w:szCs w:val="44"/>
        </w:rPr>
        <w:t>专精特新中小企业知识产权高质量发展服务</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江门市市场监督管理局专精特新中小企业知识产权高质量发展服务项目”（项目编号：xxxxxx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专精特新中小企业知识产权高质量发展服务项目</w:t>
      </w:r>
      <w:r>
        <w:rPr>
          <w:rFonts w:hint="eastAsia" w:ascii="仿宋" w:hAnsi="仿宋" w:eastAsia="仿宋" w:cs="仿宋"/>
          <w:sz w:val="28"/>
          <w:szCs w:val="28"/>
        </w:rPr>
        <w:t>，乙方的工作内容包括，</w:t>
      </w:r>
      <w:r>
        <w:rPr>
          <w:rFonts w:hint="eastAsia" w:ascii="仿宋" w:hAnsi="仿宋" w:eastAsia="仿宋" w:cs="仿宋"/>
          <w:color w:val="333333"/>
          <w:sz w:val="28"/>
          <w:szCs w:val="28"/>
          <w:shd w:val="clear" w:color="auto" w:fill="FFFFFF"/>
        </w:rPr>
        <w:t>助力企业知识产权创造提质增效</w:t>
      </w:r>
      <w:r>
        <w:rPr>
          <w:rFonts w:hint="eastAsia" w:ascii="仿宋" w:hAnsi="仿宋" w:eastAsia="仿宋" w:cs="仿宋"/>
          <w:sz w:val="28"/>
          <w:szCs w:val="28"/>
        </w:rPr>
        <w:t>，协助组织开展企业知识产权管理主题沙龙活动，</w:t>
      </w:r>
      <w:r>
        <w:rPr>
          <w:rFonts w:hint="eastAsia" w:ascii="仿宋" w:hAnsi="仿宋" w:eastAsia="仿宋" w:cs="仿宋"/>
          <w:color w:val="333333"/>
          <w:sz w:val="28"/>
          <w:szCs w:val="28"/>
          <w:shd w:val="clear" w:color="auto" w:fill="FFFFFF"/>
        </w:rPr>
        <w:t>强化知识产权服务精准供给</w:t>
      </w:r>
      <w:r>
        <w:rPr>
          <w:rFonts w:hint="eastAsia" w:ascii="仿宋" w:hAnsi="仿宋" w:eastAsia="仿宋" w:cs="仿宋"/>
          <w:sz w:val="28"/>
          <w:szCs w:val="28"/>
        </w:rPr>
        <w:t>，协助开展知识产权强企培育工作，辅导市内不少于15家企业申报各类知识产权奖项等工作。具体工作方式如下：</w:t>
      </w:r>
    </w:p>
    <w:p>
      <w:pPr>
        <w:numPr>
          <w:ilvl w:val="0"/>
          <w:numId w:val="1"/>
        </w:num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乙方助力企业知识产权创造提质增效</w:t>
      </w:r>
      <w:r>
        <w:rPr>
          <w:rFonts w:hint="eastAsia" w:ascii="仿宋" w:hAnsi="仿宋" w:eastAsia="仿宋" w:cs="仿宋"/>
          <w:b/>
          <w:bCs/>
          <w:kern w:val="0"/>
          <w:sz w:val="28"/>
          <w:szCs w:val="28"/>
        </w:rPr>
        <w:t>，</w:t>
      </w:r>
      <w:r>
        <w:rPr>
          <w:rFonts w:hint="eastAsia" w:ascii="仿宋" w:hAnsi="仿宋" w:eastAsia="仿宋" w:cs="仿宋"/>
          <w:sz w:val="28"/>
          <w:szCs w:val="28"/>
        </w:rPr>
        <w:t>实地走访调研市内不少于20家企业，提供一企一策服务，建立服务过程档案，根据企业实际需求，围绕企业的高价值专利的挖掘培育、知识产权转移转化、知识产权维权援助等方面提供20份诊断分析报告，同时提供不限次数的知识产权政策宣导和解读、咨询对接等服务。推动10家企业申请发明专利，10家企业实现知识产权质押融资</w:t>
      </w:r>
      <w:r>
        <w:rPr>
          <w:rFonts w:hint="eastAsia" w:ascii="仿宋" w:hAnsi="仿宋" w:eastAsia="仿宋" w:cs="仿宋"/>
          <w:kern w:val="0"/>
          <w:sz w:val="28"/>
          <w:szCs w:val="28"/>
        </w:rPr>
        <w:t>。</w:t>
      </w:r>
    </w:p>
    <w:p>
      <w:pPr>
        <w:numPr>
          <w:ilvl w:val="255"/>
          <w:numId w:val="0"/>
        </w:numPr>
        <w:spacing w:line="560" w:lineRule="exact"/>
        <w:ind w:firstLine="562" w:firstLineChars="200"/>
        <w:rPr>
          <w:b/>
          <w:bCs/>
          <w:spacing w:val="6"/>
          <w:sz w:val="32"/>
          <w:szCs w:val="32"/>
        </w:rPr>
      </w:pPr>
      <w:r>
        <w:rPr>
          <w:rFonts w:hint="eastAsia" w:ascii="仿宋" w:hAnsi="仿宋" w:eastAsia="仿宋" w:cs="仿宋"/>
          <w:b/>
          <w:bCs/>
          <w:kern w:val="0"/>
          <w:sz w:val="28"/>
          <w:szCs w:val="28"/>
        </w:rPr>
        <w:t>（二）</w:t>
      </w:r>
      <w:r>
        <w:rPr>
          <w:rFonts w:hint="eastAsia" w:ascii="仿宋" w:hAnsi="仿宋" w:eastAsia="仿宋" w:cs="仿宋"/>
          <w:b/>
          <w:bCs/>
          <w:sz w:val="28"/>
          <w:szCs w:val="28"/>
        </w:rPr>
        <w:t>乙方协助组织开展企业知识产权管理主题沙龙活动</w:t>
      </w:r>
      <w:r>
        <w:rPr>
          <w:rFonts w:hint="eastAsia" w:ascii="仿宋" w:hAnsi="仿宋" w:eastAsia="仿宋" w:cs="仿宋"/>
          <w:b/>
          <w:bCs/>
          <w:kern w:val="0"/>
          <w:sz w:val="28"/>
          <w:szCs w:val="28"/>
        </w:rPr>
        <w:t>。</w:t>
      </w:r>
    </w:p>
    <w:p>
      <w:pPr>
        <w:widowControl/>
        <w:numPr>
          <w:ilvl w:val="255"/>
          <w:numId w:val="0"/>
        </w:numPr>
        <w:spacing w:line="56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协助组织开展1次企业知识产权管理主题沙龙活动，邀请知名企业代表到江门市内，与江门市专精特新中小企业、国家知识产权优势示范企业和专精特新“小巨人”企业的企业代表开展知识产权的交流座谈会。座谈会可围绕ISO56005国际标准的政策宣导和解读等主题开展。活动时间1天，参与企业30家以上，人数约40人。</w:t>
      </w:r>
    </w:p>
    <w:p>
      <w:pPr>
        <w:pStyle w:val="19"/>
        <w:numPr>
          <w:ilvl w:val="255"/>
          <w:numId w:val="0"/>
        </w:numPr>
        <w:spacing w:line="560" w:lineRule="exact"/>
        <w:ind w:firstLine="562" w:firstLineChars="200"/>
        <w:rPr>
          <w:rFonts w:ascii="仿宋" w:hAnsi="仿宋" w:eastAsia="仿宋" w:cs="仿宋"/>
          <w:kern w:val="2"/>
          <w:sz w:val="28"/>
          <w:szCs w:val="28"/>
        </w:rPr>
      </w:pPr>
      <w:r>
        <w:rPr>
          <w:rFonts w:hint="eastAsia" w:ascii="仿宋" w:hAnsi="仿宋" w:eastAsia="仿宋" w:cs="仿宋"/>
          <w:b/>
          <w:bCs/>
          <w:sz w:val="28"/>
          <w:szCs w:val="28"/>
        </w:rPr>
        <w:t>（三）强化知识产权服务精准供给，乙方协助开展知识产权强企培育工作，辅导市内不少于15家企业申报各类知识产权奖项。</w:t>
      </w:r>
      <w:r>
        <w:rPr>
          <w:rFonts w:hint="eastAsia" w:ascii="仿宋" w:hAnsi="仿宋" w:eastAsia="仿宋" w:cs="仿宋"/>
          <w:kern w:val="2"/>
          <w:sz w:val="28"/>
          <w:szCs w:val="28"/>
        </w:rPr>
        <w:t>协助开展市内知识产权强企培育工作，组织专家一对一指导市内不少于15家企业申报国家、省知识产权奖项。力争国家专利奖或广东省专利奖1个以上，国家知识产权优势示范企业或广东省知识产权示范企业3家以上。累计服务时间不少于364小时。</w:t>
      </w:r>
    </w:p>
    <w:p>
      <w:pPr>
        <w:widowControl/>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8"/>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8"/>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w:t>
      </w:r>
      <w:r>
        <w:rPr>
          <w:rFonts w:hint="eastAsia" w:ascii="仿宋" w:hAnsi="仿宋" w:eastAsia="仿宋" w:cs="仿宋"/>
          <w:bCs w:val="0"/>
          <w:sz w:val="28"/>
          <w:szCs w:val="28"/>
          <w:u w:val="none"/>
        </w:rPr>
        <w:t>币</w:t>
      </w:r>
      <w:r>
        <w:rPr>
          <w:rFonts w:hint="eastAsia" w:ascii="仿宋" w:hAnsi="仿宋" w:eastAsia="仿宋" w:cs="仿宋"/>
          <w:bCs w:val="0"/>
          <w:sz w:val="28"/>
          <w:szCs w:val="28"/>
          <w:u w:val="none"/>
          <w:lang w:bidi="ar-SA"/>
        </w:rPr>
        <w:t>壹拾万</w:t>
      </w:r>
      <w:r>
        <w:rPr>
          <w:rFonts w:hint="eastAsia" w:ascii="仿宋" w:hAnsi="仿宋" w:eastAsia="仿宋" w:cs="仿宋"/>
          <w:bCs w:val="0"/>
          <w:sz w:val="28"/>
          <w:szCs w:val="28"/>
          <w:u w:val="none"/>
        </w:rPr>
        <w:t>元整（</w:t>
      </w:r>
      <w:r>
        <w:rPr>
          <w:rFonts w:ascii="仿宋" w:hAnsi="仿宋" w:eastAsia="仿宋" w:cs="仿宋"/>
          <w:bCs w:val="0"/>
          <w:sz w:val="28"/>
          <w:szCs w:val="28"/>
          <w:u w:val="none"/>
        </w:rPr>
        <w:t>¥</w:t>
      </w:r>
      <w:r>
        <w:rPr>
          <w:rFonts w:hint="eastAsia" w:ascii="仿宋" w:hAnsi="仿宋" w:eastAsia="仿宋" w:cs="仿宋"/>
          <w:bCs w:val="0"/>
          <w:sz w:val="28"/>
          <w:szCs w:val="28"/>
          <w:u w:val="none"/>
        </w:rPr>
        <w:t>100</w:t>
      </w:r>
      <w:r>
        <w:rPr>
          <w:rFonts w:ascii="仿宋" w:hAnsi="仿宋" w:eastAsia="仿宋" w:cs="仿宋"/>
          <w:bCs w:val="0"/>
          <w:sz w:val="28"/>
          <w:szCs w:val="28"/>
          <w:u w:val="none"/>
        </w:rPr>
        <w:t>,</w:t>
      </w:r>
      <w:r>
        <w:rPr>
          <w:rFonts w:hint="eastAsia" w:ascii="仿宋" w:hAnsi="仿宋" w:eastAsia="仿宋" w:cs="仿宋"/>
          <w:bCs w:val="0"/>
          <w:sz w:val="28"/>
          <w:szCs w:val="28"/>
          <w:u w:val="none"/>
        </w:rPr>
        <w:t>0</w:t>
      </w:r>
      <w:r>
        <w:rPr>
          <w:rFonts w:ascii="仿宋" w:hAnsi="仿宋" w:eastAsia="仿宋" w:cs="仿宋"/>
          <w:bCs w:val="0"/>
          <w:sz w:val="28"/>
          <w:szCs w:val="28"/>
          <w:u w:val="none"/>
        </w:rPr>
        <w:t>00.00</w:t>
      </w:r>
      <w:r>
        <w:rPr>
          <w:rFonts w:hint="eastAsia" w:ascii="仿宋" w:hAnsi="仿宋" w:eastAsia="仿宋" w:cs="仿宋"/>
          <w:bCs w:val="0"/>
          <w:sz w:val="28"/>
          <w:szCs w:val="28"/>
          <w:u w:val="none"/>
        </w:rPr>
        <w:t>元）</w:t>
      </w:r>
      <w:r>
        <w:rPr>
          <w:rFonts w:hint="eastAsia" w:ascii="仿宋" w:hAnsi="仿宋" w:eastAsia="仿宋" w:cs="仿宋"/>
          <w:bCs w:val="0"/>
          <w:color w:val="666666"/>
          <w:sz w:val="28"/>
          <w:szCs w:val="28"/>
          <w:shd w:val="clear" w:color="auto" w:fill="auto"/>
        </w:rPr>
        <w:t>。</w:t>
      </w:r>
      <w:r>
        <w:rPr>
          <w:rFonts w:hint="eastAsia" w:ascii="仿宋" w:hAnsi="仿宋" w:eastAsia="仿宋" w:cs="仿宋"/>
          <w:spacing w:val="0"/>
          <w:sz w:val="28"/>
          <w:szCs w:val="28"/>
        </w:rPr>
        <w:t>项目总费用包含开展本项目人员的劳务费、食宿费、交通费及由此产生的费用等</w:t>
      </w:r>
      <w:r>
        <w:rPr>
          <w:rFonts w:hint="eastAsia" w:ascii="仿宋" w:hAnsi="仿宋" w:eastAsia="仿宋" w:cs="仿宋"/>
          <w:sz w:val="28"/>
          <w:szCs w:val="28"/>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第一期：甲、乙双方签订本协议后，甲方收到乙方开具的相对应金额发票之日起30个工作日内，向乙方支付项目总费用60%，即</w:t>
      </w:r>
      <w:r>
        <w:rPr>
          <w:rFonts w:hint="eastAsia" w:ascii="仿宋" w:hAnsi="仿宋" w:eastAsia="仿宋" w:cs="仿宋"/>
          <w:sz w:val="28"/>
          <w:szCs w:val="28"/>
          <w:u w:val="single"/>
        </w:rPr>
        <w:t>人民币陆</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60000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第二期：本协议签订满30日后，工作进度达60%，由乙方向甲方提出支付申请，甲方审核通过后，向乙方支付项目总费用30%，即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叁万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30000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第三期：项目完成后，由乙方向甲方提出支付申请，甲方审核通过后，自收到乙方开具的相对应金额发票之日起30个工作日内向乙方支付剩余的项目总费用10%，即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企业代表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江门市市场监督管理局专精特新中小企业知识产权高质量发展服务项目</w:t>
      </w:r>
      <w:r>
        <w:rPr>
          <w:rFonts w:hint="eastAsia" w:ascii="仿宋" w:hAnsi="仿宋" w:eastAsia="仿宋" w:cs="仿宋"/>
          <w:szCs w:val="28"/>
        </w:rPr>
        <w:t>采购公告；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1"/>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3FF3F91E"/>
    <w:multiLevelType w:val="singleLevel"/>
    <w:tmpl w:val="3FF3F91E"/>
    <w:lvl w:ilvl="0" w:tentative="0">
      <w:start w:val="1"/>
      <w:numFmt w:val="chineseCounting"/>
      <w:suff w:val="nothing"/>
      <w:lvlText w:val="（%1）"/>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6"/>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5"/>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67DF"/>
    <w:rsid w:val="000A5D54"/>
    <w:rsid w:val="000C2B5A"/>
    <w:rsid w:val="00164959"/>
    <w:rsid w:val="001A07F1"/>
    <w:rsid w:val="001D3FEC"/>
    <w:rsid w:val="00200E0F"/>
    <w:rsid w:val="00201EA2"/>
    <w:rsid w:val="00291039"/>
    <w:rsid w:val="002A1EA9"/>
    <w:rsid w:val="003B6187"/>
    <w:rsid w:val="00426D70"/>
    <w:rsid w:val="00465A99"/>
    <w:rsid w:val="004779C9"/>
    <w:rsid w:val="004E7D3B"/>
    <w:rsid w:val="004F4652"/>
    <w:rsid w:val="0054051D"/>
    <w:rsid w:val="0055284F"/>
    <w:rsid w:val="005B513B"/>
    <w:rsid w:val="005E68CF"/>
    <w:rsid w:val="005F61C3"/>
    <w:rsid w:val="006048BE"/>
    <w:rsid w:val="006056AF"/>
    <w:rsid w:val="00607599"/>
    <w:rsid w:val="00607B33"/>
    <w:rsid w:val="00626D78"/>
    <w:rsid w:val="006501C4"/>
    <w:rsid w:val="006819FB"/>
    <w:rsid w:val="00697EDC"/>
    <w:rsid w:val="006A2479"/>
    <w:rsid w:val="006B08DF"/>
    <w:rsid w:val="006B08E0"/>
    <w:rsid w:val="006E44AD"/>
    <w:rsid w:val="00707FD5"/>
    <w:rsid w:val="007409C2"/>
    <w:rsid w:val="0079638C"/>
    <w:rsid w:val="0080374B"/>
    <w:rsid w:val="0082684F"/>
    <w:rsid w:val="00851044"/>
    <w:rsid w:val="0086306F"/>
    <w:rsid w:val="008675DA"/>
    <w:rsid w:val="008C17C3"/>
    <w:rsid w:val="00966288"/>
    <w:rsid w:val="0099689B"/>
    <w:rsid w:val="00AB5B9C"/>
    <w:rsid w:val="00AC6D3E"/>
    <w:rsid w:val="00B06102"/>
    <w:rsid w:val="00B2677F"/>
    <w:rsid w:val="00BA175D"/>
    <w:rsid w:val="00BC0846"/>
    <w:rsid w:val="00BE58C0"/>
    <w:rsid w:val="00C65C3A"/>
    <w:rsid w:val="00CA408D"/>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A37F7"/>
    <w:rsid w:val="00FD4144"/>
    <w:rsid w:val="09D77ACF"/>
    <w:rsid w:val="09DE0A66"/>
    <w:rsid w:val="0AF740DB"/>
    <w:rsid w:val="0BEA35C3"/>
    <w:rsid w:val="0DDF3CA5"/>
    <w:rsid w:val="0E4954F9"/>
    <w:rsid w:val="0FB72321"/>
    <w:rsid w:val="10FC4243"/>
    <w:rsid w:val="160C41FE"/>
    <w:rsid w:val="16772F36"/>
    <w:rsid w:val="171724B5"/>
    <w:rsid w:val="1A19383D"/>
    <w:rsid w:val="1FF77077"/>
    <w:rsid w:val="20075F93"/>
    <w:rsid w:val="21EC34F7"/>
    <w:rsid w:val="24EE444C"/>
    <w:rsid w:val="28F2788A"/>
    <w:rsid w:val="293A0576"/>
    <w:rsid w:val="2D016C87"/>
    <w:rsid w:val="2D427F00"/>
    <w:rsid w:val="2FF91F6F"/>
    <w:rsid w:val="391A5AE0"/>
    <w:rsid w:val="3B19643C"/>
    <w:rsid w:val="3B44506A"/>
    <w:rsid w:val="3EF5AA30"/>
    <w:rsid w:val="3FA76621"/>
    <w:rsid w:val="404A6C17"/>
    <w:rsid w:val="43F43818"/>
    <w:rsid w:val="452404E0"/>
    <w:rsid w:val="47C7B3FB"/>
    <w:rsid w:val="4B562BFB"/>
    <w:rsid w:val="4D261BEA"/>
    <w:rsid w:val="4DD70C4E"/>
    <w:rsid w:val="4F5F3CF9"/>
    <w:rsid w:val="543FFAB2"/>
    <w:rsid w:val="5789094D"/>
    <w:rsid w:val="5BB2671C"/>
    <w:rsid w:val="5BD2DE1F"/>
    <w:rsid w:val="5BEF185C"/>
    <w:rsid w:val="5EDE1D77"/>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BFFD42"/>
    <w:rsid w:val="7AFF012B"/>
    <w:rsid w:val="7B5E7625"/>
    <w:rsid w:val="7BFF43A8"/>
    <w:rsid w:val="7EFEE140"/>
    <w:rsid w:val="7F3F9044"/>
    <w:rsid w:val="7FF7852A"/>
    <w:rsid w:val="7FFD0E42"/>
    <w:rsid w:val="9CFB3564"/>
    <w:rsid w:val="9FBA5946"/>
    <w:rsid w:val="ADFD9A6B"/>
    <w:rsid w:val="BBFCCF91"/>
    <w:rsid w:val="BFB7ADE0"/>
    <w:rsid w:val="C3FD623D"/>
    <w:rsid w:val="CFB94987"/>
    <w:rsid w:val="D6227AE9"/>
    <w:rsid w:val="D6BD59A0"/>
    <w:rsid w:val="DDFE42F3"/>
    <w:rsid w:val="E73501DD"/>
    <w:rsid w:val="ED574106"/>
    <w:rsid w:val="EF77E18D"/>
    <w:rsid w:val="EF7D8F61"/>
    <w:rsid w:val="F0BF2FA0"/>
    <w:rsid w:val="F3CF9E3A"/>
    <w:rsid w:val="F9CED2AB"/>
    <w:rsid w:val="F9DACFC2"/>
    <w:rsid w:val="FBFE435D"/>
    <w:rsid w:val="FDBB5E94"/>
    <w:rsid w:val="FEEF5374"/>
    <w:rsid w:val="FF7F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0"/>
    <w:pPr>
      <w:keepNext/>
      <w:outlineLvl w:val="2"/>
    </w:pPr>
    <w:rPr>
      <w:rFonts w:ascii="楷体_GB2312" w:hAnsi="宋体" w:eastAsia="楷体_GB2312"/>
      <w:b/>
      <w:bCs/>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4">
    <w:name w:val="annotation text"/>
    <w:basedOn w:val="1"/>
    <w:link w:val="2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4"/>
    <w:next w:val="4"/>
    <w:link w:val="22"/>
    <w:qFormat/>
    <w:uiPriority w:val="0"/>
    <w:rPr>
      <w:b/>
      <w:bCs/>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3"/>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3"/>
    <w:link w:val="4"/>
    <w:qFormat/>
    <w:uiPriority w:val="0"/>
    <w:rPr>
      <w:rFonts w:eastAsia="仿宋_GB2312"/>
      <w:kern w:val="2"/>
      <w:sz w:val="30"/>
    </w:rPr>
  </w:style>
  <w:style w:type="character" w:customStyle="1" w:styleId="22">
    <w:name w:val="批注主题 Char"/>
    <w:basedOn w:val="21"/>
    <w:link w:val="10"/>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4540</Words>
  <Characters>168</Characters>
  <Lines>1</Lines>
  <Paragraphs>9</Paragraphs>
  <TotalTime>9</TotalTime>
  <ScaleCrop>false</ScaleCrop>
  <LinksUpToDate>false</LinksUpToDate>
  <CharactersWithSpaces>4699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2022-04-03T00:25:00Z</dcterms:created>
  <dc:creator>Administrator</dc:creator>
  <cp:lastModifiedBy>采联-605</cp:lastModifiedBy>
  <cp:lastPrinted>2023-06-12T23:11:00Z</cp:lastPrinted>
  <dcterms:modified xsi:type="dcterms:W3CDTF">2023-06-13T11:44:02Z</dcterms:modified>
  <dc:title>2020年江门市工业产品生产许可证证后</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