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江门市市场监督管理局企业知识产权能力培育提升服务项目服务协议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江门市市场监督管理局企业知识产权能力培育提升服务项目”（项目编号：xxxxxx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7"/>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企业知识产权能力培育提升服务项目</w:t>
      </w:r>
      <w:r>
        <w:rPr>
          <w:rFonts w:hint="eastAsia" w:ascii="仿宋" w:hAnsi="仿宋" w:eastAsia="仿宋" w:cs="仿宋"/>
          <w:sz w:val="28"/>
          <w:szCs w:val="28"/>
        </w:rPr>
        <w:t>，乙方的工作内容包括，开展辅导企业实施知识产权提升项目，提供海外知识产权布局专业服务，辅导创新主体提高参加省级高价值专利培育布局赛事的能力和水平。具体工作方式如下：</w:t>
      </w:r>
    </w:p>
    <w:p>
      <w:pPr>
        <w:numPr>
          <w:ilvl w:val="0"/>
          <w:numId w:val="1"/>
        </w:num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乙方开展</w:t>
      </w:r>
      <w:r>
        <w:rPr>
          <w:rFonts w:hint="eastAsia" w:ascii="仿宋" w:hAnsi="仿宋" w:eastAsia="仿宋" w:cs="仿宋"/>
          <w:b/>
          <w:bCs/>
          <w:kern w:val="0"/>
          <w:sz w:val="28"/>
          <w:szCs w:val="28"/>
        </w:rPr>
        <w:t>辅导企业实施知识产权提升项目</w:t>
      </w:r>
      <w:r>
        <w:rPr>
          <w:rFonts w:hint="eastAsia" w:ascii="仿宋" w:hAnsi="仿宋" w:eastAsia="仿宋" w:cs="仿宋"/>
          <w:sz w:val="28"/>
          <w:szCs w:val="28"/>
        </w:rPr>
        <w:t>。</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①为不少于10家企业申报提供知识产权专业咨询服务，申报材料辅导服务，累计辅导时间不少于400小时。知识产权提升项目申报包括但不限于中国专利奖和广东专利奖、驰名商标认定、广东省重点商标保护名录、知识产权贯标；</w:t>
      </w:r>
    </w:p>
    <w:p>
      <w:pPr>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②重点辅导不少于5家企业，提供一对一上门服务，实地辅导企业提高实施知识产权提升项目的质量。</w:t>
      </w:r>
    </w:p>
    <w:p>
      <w:pPr>
        <w:widowControl/>
        <w:spacing w:line="56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（二）乙方</w:t>
      </w:r>
      <w:r>
        <w:rPr>
          <w:rFonts w:hint="eastAsia" w:ascii="仿宋" w:hAnsi="仿宋" w:eastAsia="仿宋" w:cs="仿宋"/>
          <w:b/>
          <w:bCs/>
          <w:kern w:val="0"/>
          <w:sz w:val="28"/>
          <w:szCs w:val="28"/>
        </w:rPr>
        <w:t>提供海外知识产权布局专业服务。</w:t>
      </w:r>
      <w:r>
        <w:rPr>
          <w:rFonts w:hint="eastAsia" w:ascii="仿宋" w:hAnsi="仿宋" w:eastAsia="仿宋" w:cs="仿宋"/>
          <w:kern w:val="0"/>
          <w:sz w:val="28"/>
          <w:szCs w:val="28"/>
        </w:rPr>
        <w:t>为有海外知识产权布局需求的企业提供个性定制服务，服务内容包括海外知识产权布局咨询和建议、海外专利和商标申请前评估辅导工作；提供海外商标监测并出具监测报告，服务时长为6个月，监测内容为服务企业指定的不少于1个外国家、1个列别；辅导企业不少于5家</w:t>
      </w:r>
      <w:r>
        <w:rPr>
          <w:rFonts w:hint="eastAsia" w:ascii="仿宋" w:hAnsi="仿宋" w:eastAsia="仿宋" w:cs="仿宋"/>
          <w:sz w:val="28"/>
          <w:szCs w:val="28"/>
        </w:rPr>
        <w:t>。</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（三）乙方辅导创新主体提高参加省级高价值专利培育布局赛事的能力和水平。</w:t>
      </w:r>
      <w:r>
        <w:rPr>
          <w:rFonts w:hint="eastAsia" w:ascii="仿宋" w:hAnsi="仿宋" w:eastAsia="仿宋" w:cs="仿宋"/>
          <w:sz w:val="28"/>
          <w:szCs w:val="28"/>
        </w:rPr>
        <w:t>为创新主体提供知识产权专业咨询服务，为创新主体参加省级高价值专利培育布局赛事提供全程跟踪服务，服务内容包括但不限于指导申报流程、指导填报申报材料、出具专利评议报告等。辅导主体不少于10家。对有意向参赛的企业提供一对一上门服务，辅导企业不少于5家。</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对参加项目人员的交通、餐饮、防疫等相关工作进行统筹及执行，保证整体活动在符合疫情防控的条件下有序开展。</w:t>
      </w:r>
    </w:p>
    <w:p>
      <w:pPr>
        <w:pStyle w:val="16"/>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6"/>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2023年11月20日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w:t>
      </w:r>
      <w:r>
        <w:rPr>
          <w:rFonts w:hint="eastAsia" w:ascii="仿宋" w:hAnsi="仿宋" w:eastAsia="仿宋" w:cs="仿宋"/>
          <w:bCs w:val="0"/>
          <w:sz w:val="28"/>
          <w:szCs w:val="28"/>
          <w:u w:val="none"/>
        </w:rPr>
        <w:t>民币壹拾伍万元整（</w:t>
      </w:r>
      <w:r>
        <w:rPr>
          <w:rFonts w:hint="eastAsia" w:ascii="仿宋" w:hAnsi="仿宋" w:eastAsia="仿宋" w:cs="仿宋"/>
          <w:sz w:val="28"/>
          <w:szCs w:val="28"/>
        </w:rPr>
        <w:t>￥</w:t>
      </w:r>
      <w:r>
        <w:rPr>
          <w:rFonts w:ascii="仿宋" w:hAnsi="仿宋" w:eastAsia="仿宋" w:cs="仿宋"/>
          <w:bCs w:val="0"/>
          <w:sz w:val="28"/>
          <w:szCs w:val="28"/>
          <w:u w:val="none"/>
        </w:rPr>
        <w:t>150,000.00</w:t>
      </w:r>
      <w:r>
        <w:rPr>
          <w:rFonts w:hint="eastAsia" w:ascii="仿宋" w:hAnsi="仿宋" w:eastAsia="仿宋" w:cs="仿宋"/>
          <w:bCs w:val="0"/>
          <w:sz w:val="28"/>
          <w:szCs w:val="28"/>
          <w:u w:val="none"/>
        </w:rPr>
        <w:t>元）。</w:t>
      </w:r>
      <w:r>
        <w:rPr>
          <w:rFonts w:hint="eastAsia" w:ascii="仿宋" w:hAnsi="仿宋" w:eastAsia="仿宋" w:cs="仿宋"/>
          <w:spacing w:val="0"/>
          <w:sz w:val="28"/>
          <w:szCs w:val="28"/>
        </w:rPr>
        <w:t>项目总费用包含完成项目工作人员的劳务费、食宿费、交通费及由此产生的费用等</w:t>
      </w:r>
      <w:r>
        <w:rPr>
          <w:rFonts w:hint="eastAsia" w:ascii="仿宋" w:hAnsi="仿宋" w:eastAsia="仿宋" w:cs="仿宋"/>
          <w:sz w:val="28"/>
          <w:szCs w:val="28"/>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第一期：甲、乙双方签订本协议后，甲方收到乙方开具的相对应金额发票之日起30个工作日内，向乙方支付项目总费用的60%，即</w:t>
      </w:r>
      <w:r>
        <w:rPr>
          <w:rFonts w:hint="eastAsia" w:ascii="仿宋" w:hAnsi="仿宋" w:eastAsia="仿宋" w:cs="仿宋"/>
          <w:sz w:val="28"/>
          <w:szCs w:val="28"/>
          <w:u w:val="single"/>
        </w:rPr>
        <w:t>人民币玖</w:t>
      </w:r>
      <w:r>
        <w:rPr>
          <w:rFonts w:hint="eastAsia" w:ascii="仿宋" w:hAnsi="仿宋" w:eastAsia="仿宋" w:cs="仿宋"/>
          <w:bCs/>
          <w:sz w:val="28"/>
          <w:szCs w:val="28"/>
          <w:u w:val="single"/>
          <w:lang w:bidi="ar"/>
        </w:rPr>
        <w:t>万捌仟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90000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第二期：本协议签订满30日后，工作进度达60%，由乙方向甲方提出支付申请，甲方审核通过后，向乙方支付项目总费用的30%，即</w:t>
      </w:r>
      <w:r>
        <w:rPr>
          <w:rFonts w:hint="eastAsia" w:ascii="仿宋" w:hAnsi="仿宋" w:eastAsia="仿宋" w:cs="仿宋"/>
          <w:sz w:val="28"/>
          <w:szCs w:val="28"/>
          <w:u w:val="single"/>
        </w:rPr>
        <w:t>人民币</w:t>
      </w:r>
      <w:r>
        <w:rPr>
          <w:rFonts w:hint="eastAsia" w:ascii="仿宋" w:hAnsi="仿宋" w:eastAsia="仿宋" w:cs="仿宋"/>
          <w:bCs/>
          <w:sz w:val="28"/>
          <w:szCs w:val="28"/>
          <w:u w:val="single"/>
          <w:lang w:bidi="ar"/>
        </w:rPr>
        <w:t>肆万</w:t>
      </w:r>
      <w:r>
        <w:rPr>
          <w:rFonts w:hint="eastAsia" w:ascii="仿宋" w:hAnsi="仿宋" w:eastAsia="仿宋" w:cs="仿宋"/>
          <w:sz w:val="28"/>
          <w:szCs w:val="28"/>
          <w:u w:val="single"/>
        </w:rPr>
        <w:t>伍</w:t>
      </w:r>
      <w:r>
        <w:rPr>
          <w:rFonts w:hint="eastAsia" w:ascii="仿宋" w:hAnsi="仿宋" w:eastAsia="仿宋" w:cs="仿宋"/>
          <w:bCs/>
          <w:sz w:val="28"/>
          <w:szCs w:val="28"/>
          <w:u w:val="single"/>
          <w:lang w:bidi="ar"/>
        </w:rPr>
        <w:t>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45000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第三期：项目完成后，由乙方向甲方提出支付申请，甲方审核通过后，自收到乙方开具的相对应金额发票之日起30个工作日内向乙方支付剩余的项目总费用的10%，即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万伍仟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15000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0"/>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0"/>
        <w:numPr>
          <w:ilvl w:val="0"/>
          <w:numId w:val="13"/>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江门市市场监督管理局企业知识产权能力培育提升服务项目</w:t>
      </w:r>
      <w:r>
        <w:rPr>
          <w:rFonts w:hint="eastAsia" w:ascii="仿宋" w:hAnsi="仿宋" w:eastAsia="仿宋" w:cs="仿宋"/>
          <w:szCs w:val="28"/>
        </w:rPr>
        <w:t>采购公告；</w:t>
      </w:r>
    </w:p>
    <w:p>
      <w:pPr>
        <w:pStyle w:val="10"/>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7FBFD8D"/>
    <w:multiLevelType w:val="singleLevel"/>
    <w:tmpl w:val="B7FBFD8D"/>
    <w:lvl w:ilvl="0" w:tentative="0">
      <w:start w:val="1"/>
      <w:numFmt w:val="chineseCounting"/>
      <w:suff w:val="nothing"/>
      <w:lvlText w:val="（%1）"/>
      <w:lvlJc w:val="left"/>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1"/>
  </w:num>
  <w:num w:numId="2">
    <w:abstractNumId w:val="5"/>
  </w:num>
  <w:num w:numId="3">
    <w:abstractNumId w:val="10"/>
  </w:num>
  <w:num w:numId="4">
    <w:abstractNumId w:val="11"/>
  </w:num>
  <w:num w:numId="5">
    <w:abstractNumId w:val="2"/>
  </w:num>
  <w:num w:numId="6">
    <w:abstractNumId w:val="8"/>
  </w:num>
  <w:num w:numId="7">
    <w:abstractNumId w:val="12"/>
  </w:num>
  <w:num w:numId="8">
    <w:abstractNumId w:val="4"/>
  </w:num>
  <w:num w:numId="9">
    <w:abstractNumId w:val="3"/>
  </w:num>
  <w:num w:numId="10">
    <w:abstractNumId w:val="6"/>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A5D54"/>
    <w:rsid w:val="000C2B5A"/>
    <w:rsid w:val="000F1433"/>
    <w:rsid w:val="00164959"/>
    <w:rsid w:val="001A07F1"/>
    <w:rsid w:val="001D3FEC"/>
    <w:rsid w:val="00200E0F"/>
    <w:rsid w:val="00201EA2"/>
    <w:rsid w:val="00291039"/>
    <w:rsid w:val="002A1EA9"/>
    <w:rsid w:val="002A4E10"/>
    <w:rsid w:val="003B6187"/>
    <w:rsid w:val="00426D70"/>
    <w:rsid w:val="00465A99"/>
    <w:rsid w:val="00476091"/>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64D17"/>
    <w:rsid w:val="0079638C"/>
    <w:rsid w:val="0080374B"/>
    <w:rsid w:val="0082684F"/>
    <w:rsid w:val="00851044"/>
    <w:rsid w:val="008C17C3"/>
    <w:rsid w:val="00941ADB"/>
    <w:rsid w:val="00966288"/>
    <w:rsid w:val="0099689B"/>
    <w:rsid w:val="00AB5B9C"/>
    <w:rsid w:val="00AC6D3E"/>
    <w:rsid w:val="00B06102"/>
    <w:rsid w:val="00B2677F"/>
    <w:rsid w:val="00BA175D"/>
    <w:rsid w:val="00BC0846"/>
    <w:rsid w:val="00BE58C0"/>
    <w:rsid w:val="00C11F25"/>
    <w:rsid w:val="00C65C3A"/>
    <w:rsid w:val="00CA408D"/>
    <w:rsid w:val="00D00D3C"/>
    <w:rsid w:val="00D34A03"/>
    <w:rsid w:val="00D8556E"/>
    <w:rsid w:val="00DA2112"/>
    <w:rsid w:val="00DA793C"/>
    <w:rsid w:val="00DE23D9"/>
    <w:rsid w:val="00DE3579"/>
    <w:rsid w:val="00E33C41"/>
    <w:rsid w:val="00EB30AD"/>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5FFFB8"/>
    <w:rsid w:val="1FF77077"/>
    <w:rsid w:val="20075F93"/>
    <w:rsid w:val="21EC34F7"/>
    <w:rsid w:val="24EE444C"/>
    <w:rsid w:val="28F2788A"/>
    <w:rsid w:val="293A0576"/>
    <w:rsid w:val="2D016C87"/>
    <w:rsid w:val="2D427F00"/>
    <w:rsid w:val="2FF91F6F"/>
    <w:rsid w:val="391A5AE0"/>
    <w:rsid w:val="3B19643C"/>
    <w:rsid w:val="3B44506A"/>
    <w:rsid w:val="3FA76621"/>
    <w:rsid w:val="3FF705E4"/>
    <w:rsid w:val="404A6C17"/>
    <w:rsid w:val="43F43818"/>
    <w:rsid w:val="452404E0"/>
    <w:rsid w:val="47C7B3FB"/>
    <w:rsid w:val="4B562BFB"/>
    <w:rsid w:val="4D261BEA"/>
    <w:rsid w:val="4DD70C4E"/>
    <w:rsid w:val="5789094D"/>
    <w:rsid w:val="5BB2671C"/>
    <w:rsid w:val="5BEF185C"/>
    <w:rsid w:val="5FDEC792"/>
    <w:rsid w:val="690D3BC4"/>
    <w:rsid w:val="693B3F28"/>
    <w:rsid w:val="6B160BA9"/>
    <w:rsid w:val="6B7E7578"/>
    <w:rsid w:val="6C7B1287"/>
    <w:rsid w:val="6F5F4F93"/>
    <w:rsid w:val="718B1CD0"/>
    <w:rsid w:val="72AF67A9"/>
    <w:rsid w:val="76A81E4D"/>
    <w:rsid w:val="79276609"/>
    <w:rsid w:val="79FD0554"/>
    <w:rsid w:val="7A6597BF"/>
    <w:rsid w:val="7AFF012B"/>
    <w:rsid w:val="7B5E7625"/>
    <w:rsid w:val="7EFEE140"/>
    <w:rsid w:val="7F2FA8B5"/>
    <w:rsid w:val="7F3F9044"/>
    <w:rsid w:val="7F6B6E2B"/>
    <w:rsid w:val="7FBF2DE3"/>
    <w:rsid w:val="7FFD0E42"/>
    <w:rsid w:val="9CFB3564"/>
    <w:rsid w:val="ABEE2E93"/>
    <w:rsid w:val="BBDA0335"/>
    <w:rsid w:val="CEDB882A"/>
    <w:rsid w:val="D6BD59A0"/>
    <w:rsid w:val="DD0632A0"/>
    <w:rsid w:val="DDFE42F3"/>
    <w:rsid w:val="DDFF0450"/>
    <w:rsid w:val="E7DD985D"/>
    <w:rsid w:val="ECBB0A54"/>
    <w:rsid w:val="EDFF6941"/>
    <w:rsid w:val="EDFF6C5A"/>
    <w:rsid w:val="F3CF9E3A"/>
    <w:rsid w:val="F9CED2AB"/>
    <w:rsid w:val="FBFE435D"/>
    <w:rsid w:val="FCF674A3"/>
    <w:rsid w:val="FEFDE611"/>
    <w:rsid w:val="FF5F5C82"/>
    <w:rsid w:val="FF7FA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9"/>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20"/>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msolistparagraph"/>
    <w:basedOn w:val="1"/>
    <w:qFormat/>
    <w:uiPriority w:val="0"/>
    <w:pPr>
      <w:ind w:firstLine="420" w:firstLineChars="200"/>
    </w:pPr>
    <w:rPr>
      <w:rFonts w:ascii="Calibri" w:hAnsi="Calibri" w:eastAsia="宋体"/>
      <w:sz w:val="21"/>
      <w:szCs w:val="22"/>
    </w:rPr>
  </w:style>
  <w:style w:type="character" w:customStyle="1" w:styleId="15">
    <w:name w:val="批注框文本 Char"/>
    <w:basedOn w:val="12"/>
    <w:link w:val="5"/>
    <w:qFormat/>
    <w:uiPriority w:val="0"/>
    <w:rPr>
      <w:rFonts w:eastAsia="仿宋_GB2312"/>
      <w:kern w:val="2"/>
      <w:sz w:val="18"/>
      <w:szCs w:val="18"/>
    </w:rPr>
  </w:style>
  <w:style w:type="paragraph" w:customStyle="1" w:styleId="16">
    <w:name w:val="普通(网站)1"/>
    <w:basedOn w:val="1"/>
    <w:qFormat/>
    <w:uiPriority w:val="0"/>
    <w:pPr>
      <w:jc w:val="left"/>
    </w:pPr>
    <w:rPr>
      <w:rFonts w:ascii="Calibri" w:hAnsi="Calibri" w:eastAsia="宋体" w:cs="黑体"/>
      <w:kern w:val="0"/>
      <w:sz w:val="24"/>
      <w:szCs w:val="24"/>
    </w:rPr>
  </w:style>
  <w:style w:type="paragraph" w:customStyle="1" w:styleId="17">
    <w:name w:val="普通(网站)2"/>
    <w:basedOn w:val="1"/>
    <w:qFormat/>
    <w:uiPriority w:val="0"/>
    <w:pPr>
      <w:jc w:val="left"/>
    </w:pPr>
    <w:rPr>
      <w:rFonts w:ascii="Calibri" w:hAnsi="Calibri" w:cs="黑体"/>
      <w:kern w:val="0"/>
      <w:sz w:val="24"/>
      <w:szCs w:val="24"/>
    </w:rPr>
  </w:style>
  <w:style w:type="paragraph" w:customStyle="1" w:styleId="18">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19">
    <w:name w:val="批注文字 Char"/>
    <w:basedOn w:val="12"/>
    <w:link w:val="3"/>
    <w:qFormat/>
    <w:uiPriority w:val="0"/>
    <w:rPr>
      <w:rFonts w:eastAsia="仿宋_GB2312"/>
      <w:kern w:val="2"/>
      <w:sz w:val="30"/>
    </w:rPr>
  </w:style>
  <w:style w:type="character" w:customStyle="1" w:styleId="20">
    <w:name w:val="批注主题 Char"/>
    <w:basedOn w:val="19"/>
    <w:link w:val="9"/>
    <w:qFormat/>
    <w:uiPriority w:val="0"/>
    <w:rPr>
      <w:rFonts w:eastAsia="仿宋_GB2312"/>
      <w:b/>
      <w:bCs/>
      <w:kern w:val="2"/>
      <w:sz w:val="3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4269</Words>
  <Characters>329</Characters>
  <Lines>2</Lines>
  <Paragraphs>9</Paragraphs>
  <TotalTime>48</TotalTime>
  <ScaleCrop>false</ScaleCrop>
  <LinksUpToDate>false</LinksUpToDate>
  <CharactersWithSpaces>4589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2022-04-01T08:25:00Z</dcterms:created>
  <dc:creator>Administrator</dc:creator>
  <cp:lastModifiedBy>采联-605</cp:lastModifiedBy>
  <cp:lastPrinted>2023-06-02T17:36:00Z</cp:lastPrinted>
  <dcterms:modified xsi:type="dcterms:W3CDTF">2023-06-07T10:45:06Z</dcterms:modified>
  <dc:title>2020年江门市工业产品生产许可证证后</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