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1" w:name="_GoBack"/>
      <w:bookmarkEnd w:id="1"/>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w:t>
      </w:r>
      <w:r>
        <w:rPr>
          <w:rFonts w:ascii="宋体" w:hAnsi="宋体" w:eastAsia="宋体" w:cs="宋体"/>
          <w:b/>
          <w:bCs/>
          <w:color w:val="000000" w:themeColor="text1"/>
          <w:sz w:val="44"/>
          <w:szCs w:val="44"/>
          <w:shd w:val="clear" w:color="auto" w:fill="FFFFFF"/>
          <w14:textFill>
            <w14:solidFill>
              <w14:schemeClr w14:val="tx1"/>
            </w14:solidFill>
          </w14:textFill>
        </w:rPr>
        <w:t>新会陈皮</w:t>
      </w:r>
      <w:r>
        <w:rPr>
          <w:rFonts w:hint="eastAsia" w:ascii="宋体" w:hAnsi="宋体" w:eastAsia="宋体" w:cs="宋体"/>
          <w:b/>
          <w:bCs/>
          <w:color w:val="000000" w:themeColor="text1"/>
          <w:sz w:val="44"/>
          <w:szCs w:val="44"/>
          <w:shd w:val="clear" w:color="auto" w:fill="FFFFFF"/>
          <w14:textFill>
            <w14:solidFill>
              <w14:schemeClr w14:val="tx1"/>
            </w14:solidFill>
          </w14:textFill>
        </w:rPr>
        <w:t>地理标志品牌提升</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江门市市场监督管理局新会陈皮地理标志品牌提升项目”（项目编号：xxxxxx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8"/>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新会陈皮地理标志品牌提升项目</w:t>
      </w:r>
      <w:r>
        <w:rPr>
          <w:rFonts w:hint="eastAsia" w:ascii="仿宋" w:hAnsi="仿宋" w:eastAsia="仿宋" w:cs="仿宋"/>
          <w:sz w:val="28"/>
          <w:szCs w:val="28"/>
        </w:rPr>
        <w:t>，乙方的工作内容包括，开展新会陈皮地理标志品牌专题培训，协助注册不少于5件商标品牌，组织组织市内20家以上企业参加粤港澳大湾区知识产权交易博览会或其他省内品牌推介会1次等工作。具体工作方式如下：</w:t>
      </w:r>
    </w:p>
    <w:p>
      <w:pPr>
        <w:numPr>
          <w:ilvl w:val="0"/>
          <w:numId w:val="1"/>
        </w:numPr>
        <w:spacing w:line="560" w:lineRule="exact"/>
        <w:ind w:firstLine="562" w:firstLineChars="200"/>
        <w:rPr>
          <w:rFonts w:ascii="仿宋" w:hAnsi="仿宋" w:eastAsia="仿宋" w:cs="仿宋"/>
          <w:kern w:val="0"/>
          <w:sz w:val="28"/>
          <w:szCs w:val="28"/>
        </w:rPr>
      </w:pPr>
      <w:r>
        <w:rPr>
          <w:rFonts w:hint="eastAsia" w:ascii="仿宋" w:hAnsi="仿宋" w:eastAsia="仿宋" w:cs="仿宋"/>
          <w:b/>
          <w:bCs/>
          <w:sz w:val="28"/>
          <w:szCs w:val="28"/>
        </w:rPr>
        <w:t>乙方</w:t>
      </w:r>
      <w:r>
        <w:rPr>
          <w:rFonts w:hint="eastAsia" w:ascii="仿宋" w:hAnsi="仿宋" w:eastAsia="仿宋" w:cs="仿宋"/>
          <w:b/>
          <w:bCs/>
          <w:kern w:val="0"/>
          <w:sz w:val="28"/>
          <w:szCs w:val="28"/>
        </w:rPr>
        <w:t>开展新会陈皮地理标志品牌专题培训1场，</w:t>
      </w:r>
      <w:r>
        <w:rPr>
          <w:rFonts w:hint="eastAsia" w:ascii="仿宋" w:hAnsi="仿宋" w:eastAsia="仿宋" w:cs="仿宋"/>
          <w:kern w:val="0"/>
          <w:sz w:val="28"/>
          <w:szCs w:val="28"/>
        </w:rPr>
        <w:t>为期1天，参训人数不少于50人次。采用深入乡镇开展新会陈皮讲座、现场观摩、政策解读、经验交流、咨询培训等形式，培训对象为新会陈皮种植农户和企业，宣传地理标志品牌相关知识。</w:t>
      </w:r>
    </w:p>
    <w:p>
      <w:pPr>
        <w:numPr>
          <w:ilvl w:val="255"/>
          <w:numId w:val="0"/>
        </w:numPr>
        <w:spacing w:line="560" w:lineRule="exact"/>
        <w:ind w:firstLine="562" w:firstLineChars="200"/>
        <w:rPr>
          <w:b/>
          <w:bCs/>
          <w:spacing w:val="6"/>
          <w:sz w:val="32"/>
          <w:szCs w:val="32"/>
        </w:rPr>
      </w:pPr>
      <w:r>
        <w:rPr>
          <w:rFonts w:hint="eastAsia" w:ascii="仿宋" w:hAnsi="仿宋" w:eastAsia="仿宋" w:cs="仿宋"/>
          <w:b/>
          <w:bCs/>
          <w:kern w:val="0"/>
          <w:sz w:val="28"/>
          <w:szCs w:val="28"/>
        </w:rPr>
        <w:t>（二）</w:t>
      </w:r>
      <w:r>
        <w:rPr>
          <w:rFonts w:hint="eastAsia" w:ascii="仿宋" w:hAnsi="仿宋" w:eastAsia="仿宋" w:cs="仿宋"/>
          <w:b/>
          <w:bCs/>
          <w:sz w:val="28"/>
          <w:szCs w:val="28"/>
        </w:rPr>
        <w:t>乙方</w:t>
      </w:r>
      <w:r>
        <w:rPr>
          <w:rFonts w:hint="eastAsia" w:ascii="仿宋" w:hAnsi="仿宋" w:eastAsia="仿宋" w:cs="仿宋"/>
          <w:b/>
          <w:bCs/>
          <w:kern w:val="0"/>
          <w:sz w:val="28"/>
          <w:szCs w:val="28"/>
        </w:rPr>
        <w:t>协助注册不少于5件商标品牌，推进把地理标志产品转化成商标品牌。</w:t>
      </w:r>
    </w:p>
    <w:p>
      <w:pPr>
        <w:widowControl/>
        <w:numPr>
          <w:ilvl w:val="255"/>
          <w:numId w:val="0"/>
        </w:numPr>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以企业和区域为重点，支持、引导市场主体充分发挥商标等各类知识产权的组合效应，着力提升品牌价值，提高产业综合竞争力，促进形成商标品牌带动、企业壮大、区域发展、产业升级的品牌经济模式，更好服务实体经济，助力恢复和扩大消费，推动经济高质量发展。推动和培育新会陈皮个体及企业注册商标，</w:t>
      </w:r>
      <w:bookmarkStart w:id="0" w:name="_Hlk134277155"/>
      <w:r>
        <w:rPr>
          <w:rFonts w:hint="eastAsia" w:ascii="仿宋" w:hAnsi="仿宋" w:eastAsia="仿宋" w:cs="仿宋"/>
          <w:kern w:val="0"/>
          <w:sz w:val="28"/>
          <w:szCs w:val="28"/>
        </w:rPr>
        <w:t>协助新会陈皮个体及企业注册商标品牌不少于5件。</w:t>
      </w:r>
      <w:bookmarkEnd w:id="0"/>
      <w:r>
        <w:rPr>
          <w:rFonts w:hint="eastAsia" w:ascii="仿宋" w:hAnsi="仿宋" w:eastAsia="仿宋" w:cs="仿宋"/>
          <w:kern w:val="0"/>
          <w:sz w:val="28"/>
          <w:szCs w:val="28"/>
        </w:rPr>
        <w:t>同时为不少于10家以上乡镇农户、合作社、乡镇企业等主体提供商标注册辅导、商标规范使用提示、商标维权援助、自主品牌培育等服务，服务时间累计不少于150小时。</w:t>
      </w:r>
    </w:p>
    <w:p>
      <w:pPr>
        <w:pStyle w:val="18"/>
        <w:numPr>
          <w:ilvl w:val="255"/>
          <w:numId w:val="0"/>
        </w:num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（三）乙方组织市内20家以上企业参加粤港澳大湾区知识产权交易博览会或其他省内品牌推介会1次。</w:t>
      </w:r>
      <w:r>
        <w:rPr>
          <w:rFonts w:hint="eastAsia" w:ascii="仿宋" w:hAnsi="仿宋" w:eastAsia="仿宋" w:cs="仿宋"/>
          <w:sz w:val="28"/>
          <w:szCs w:val="28"/>
        </w:rPr>
        <w:t>组织市内20家以上新会陈皮地理标志专用标志企业参加粤港澳大湾区知识产权交易博览会或其他省内品牌推介、商品展销会、品牌论坛等活动1次，为期1天。</w:t>
      </w:r>
    </w:p>
    <w:p>
      <w:pPr>
        <w:widowControl/>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对参加项目人员的交通、餐饮、防疫等相关工作进行统筹及执行，保证整体活动在符合疫情防控的条件下有序开展。</w:t>
      </w:r>
    </w:p>
    <w:p>
      <w:pPr>
        <w:pStyle w:val="17"/>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7"/>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2023年11月20日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壹拾贰万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120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第一期：甲、乙双方签订本协议后，甲方收到乙方开具的相对应金额发票之日起30个工作日内，向乙方支付项目总费用60%，即</w:t>
      </w:r>
      <w:r>
        <w:rPr>
          <w:rFonts w:hint="eastAsia" w:ascii="仿宋" w:hAnsi="仿宋" w:eastAsia="仿宋" w:cs="仿宋"/>
          <w:sz w:val="28"/>
          <w:szCs w:val="28"/>
          <w:u w:val="single"/>
        </w:rPr>
        <w:t>人民币柒</w:t>
      </w:r>
      <w:r>
        <w:rPr>
          <w:rFonts w:hint="eastAsia" w:ascii="仿宋" w:hAnsi="仿宋" w:eastAsia="仿宋" w:cs="仿宋"/>
          <w:bCs/>
          <w:sz w:val="28"/>
          <w:szCs w:val="28"/>
          <w:u w:val="single"/>
          <w:lang w:bidi="ar"/>
        </w:rPr>
        <w:t>万贰仟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72000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第二期：本协议签订满30日且乙方工作进度达60%，由乙方向甲方提出支付申请，甲方审核通过后，向乙方支付项目总费用30%，即</w:t>
      </w:r>
      <w:r>
        <w:rPr>
          <w:rFonts w:hint="eastAsia" w:ascii="仿宋" w:hAnsi="仿宋" w:eastAsia="仿宋" w:cs="仿宋"/>
          <w:sz w:val="28"/>
          <w:szCs w:val="28"/>
          <w:u w:val="single"/>
        </w:rPr>
        <w:t>人民币</w:t>
      </w:r>
      <w:r>
        <w:rPr>
          <w:rFonts w:hint="eastAsia" w:ascii="仿宋" w:hAnsi="仿宋" w:eastAsia="仿宋" w:cs="仿宋"/>
          <w:bCs/>
          <w:sz w:val="28"/>
          <w:szCs w:val="28"/>
          <w:u w:val="single"/>
          <w:lang w:bidi="ar"/>
        </w:rPr>
        <w:t>叁万</w:t>
      </w:r>
      <w:r>
        <w:rPr>
          <w:rFonts w:hint="eastAsia" w:ascii="仿宋" w:hAnsi="仿宋" w:eastAsia="仿宋" w:cs="仿宋"/>
          <w:sz w:val="28"/>
          <w:szCs w:val="28"/>
          <w:u w:val="single"/>
        </w:rPr>
        <w:t>陆</w:t>
      </w:r>
      <w:r>
        <w:rPr>
          <w:rFonts w:hint="eastAsia" w:ascii="仿宋" w:hAnsi="仿宋" w:eastAsia="仿宋" w:cs="仿宋"/>
          <w:bCs/>
          <w:sz w:val="28"/>
          <w:szCs w:val="28"/>
          <w:u w:val="single"/>
          <w:lang w:bidi="ar"/>
        </w:rPr>
        <w:t>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36000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第三期：项目完成后，由乙方向甲方提出支付申请，甲方审核通过后，自收到乙方开具的相对应金额发票之日起30个工作日内向乙方支付剩余的项目总费用10%，即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万贰仟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12000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9"/>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培训的学员等人员）的安全。从人员组织、维持人员活动秩序、告知参与培训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乙方需明确告知到场进行培训的授课老师上述关于宣贯培训内容知识产权归属的要求；并要求授课老师按照甲方的要求提供相应的培训内容等给甲方。</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1"/>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numPr>
          <w:ilvl w:val="0"/>
          <w:numId w:val="13"/>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江门市市场监督管理局新会陈皮地理标志品牌提升</w:t>
      </w:r>
      <w:r>
        <w:rPr>
          <w:rFonts w:hint="eastAsia" w:ascii="仿宋" w:hAnsi="仿宋" w:eastAsia="仿宋" w:cs="仿宋"/>
          <w:szCs w:val="28"/>
        </w:rPr>
        <w:t>项目采购公告；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11"/>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3FF3F91E"/>
    <w:multiLevelType w:val="singleLevel"/>
    <w:tmpl w:val="3FF3F91E"/>
    <w:lvl w:ilvl="0" w:tentative="0">
      <w:start w:val="1"/>
      <w:numFmt w:val="chineseCounting"/>
      <w:suff w:val="nothing"/>
      <w:lvlText w:val="（%1）"/>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6"/>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5"/>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A5D54"/>
    <w:rsid w:val="000C2B5A"/>
    <w:rsid w:val="00164959"/>
    <w:rsid w:val="001A07F1"/>
    <w:rsid w:val="001D3FEC"/>
    <w:rsid w:val="00200E0F"/>
    <w:rsid w:val="00201EA2"/>
    <w:rsid w:val="00291039"/>
    <w:rsid w:val="002A1EA9"/>
    <w:rsid w:val="00316612"/>
    <w:rsid w:val="003B6187"/>
    <w:rsid w:val="00426D70"/>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7A4529"/>
    <w:rsid w:val="0080374B"/>
    <w:rsid w:val="0082684F"/>
    <w:rsid w:val="00851044"/>
    <w:rsid w:val="008C17C3"/>
    <w:rsid w:val="00902380"/>
    <w:rsid w:val="00966288"/>
    <w:rsid w:val="0099689B"/>
    <w:rsid w:val="00AB5B9C"/>
    <w:rsid w:val="00AC6D3E"/>
    <w:rsid w:val="00B06102"/>
    <w:rsid w:val="00B2677F"/>
    <w:rsid w:val="00BA175D"/>
    <w:rsid w:val="00BC0846"/>
    <w:rsid w:val="00BD45D5"/>
    <w:rsid w:val="00BE58C0"/>
    <w:rsid w:val="00C65C3A"/>
    <w:rsid w:val="00CA408D"/>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91A5AE0"/>
    <w:rsid w:val="3B19643C"/>
    <w:rsid w:val="3B44506A"/>
    <w:rsid w:val="3EF5AA30"/>
    <w:rsid w:val="3FA76621"/>
    <w:rsid w:val="404A6C17"/>
    <w:rsid w:val="43F43818"/>
    <w:rsid w:val="452404E0"/>
    <w:rsid w:val="47C7B3FB"/>
    <w:rsid w:val="4B562BFB"/>
    <w:rsid w:val="4D261BEA"/>
    <w:rsid w:val="4DD70C4E"/>
    <w:rsid w:val="5789094D"/>
    <w:rsid w:val="5BB2671C"/>
    <w:rsid w:val="5BEF185C"/>
    <w:rsid w:val="5EDE1D77"/>
    <w:rsid w:val="690D3BC4"/>
    <w:rsid w:val="693B3F28"/>
    <w:rsid w:val="6B160BA9"/>
    <w:rsid w:val="6B7E7578"/>
    <w:rsid w:val="6C7B1287"/>
    <w:rsid w:val="6F597EAD"/>
    <w:rsid w:val="6F5F4F93"/>
    <w:rsid w:val="6FEEE94F"/>
    <w:rsid w:val="718B1CD0"/>
    <w:rsid w:val="72AF67A9"/>
    <w:rsid w:val="73ED5ED3"/>
    <w:rsid w:val="76A81E4D"/>
    <w:rsid w:val="77F56405"/>
    <w:rsid w:val="79276609"/>
    <w:rsid w:val="79FD0554"/>
    <w:rsid w:val="7A6597BF"/>
    <w:rsid w:val="7ABFFD42"/>
    <w:rsid w:val="7AFF012B"/>
    <w:rsid w:val="7B5E7625"/>
    <w:rsid w:val="7BFF43A8"/>
    <w:rsid w:val="7EFEE140"/>
    <w:rsid w:val="7F3F9044"/>
    <w:rsid w:val="7FF7852A"/>
    <w:rsid w:val="7FFD0E42"/>
    <w:rsid w:val="9CFB3564"/>
    <w:rsid w:val="ADFD9A6B"/>
    <w:rsid w:val="BBFCCF91"/>
    <w:rsid w:val="BFB7ADE0"/>
    <w:rsid w:val="CFB94987"/>
    <w:rsid w:val="D6BD59A0"/>
    <w:rsid w:val="DDFE42F3"/>
    <w:rsid w:val="ED574106"/>
    <w:rsid w:val="EF7D8F61"/>
    <w:rsid w:val="F0BF2FA0"/>
    <w:rsid w:val="F3CF9E3A"/>
    <w:rsid w:val="F7FFD485"/>
    <w:rsid w:val="F9CED2AB"/>
    <w:rsid w:val="F9DACFC2"/>
    <w:rsid w:val="FBFE435D"/>
    <w:rsid w:val="FEEF5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0"/>
    <w:pPr>
      <w:keepNext/>
      <w:outlineLvl w:val="2"/>
    </w:pPr>
    <w:rPr>
      <w:rFonts w:ascii="楷体_GB2312" w:hAnsi="宋体" w:eastAsia="楷体_GB2312"/>
      <w:b/>
      <w:bCs/>
      <w:sz w:val="32"/>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4">
    <w:name w:val="annotation text"/>
    <w:basedOn w:val="1"/>
    <w:link w:val="20"/>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4"/>
    <w:next w:val="4"/>
    <w:link w:val="21"/>
    <w:qFormat/>
    <w:uiPriority w:val="0"/>
    <w:rPr>
      <w:b/>
      <w:bCs/>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annotation reference"/>
    <w:basedOn w:val="13"/>
    <w:qFormat/>
    <w:uiPriority w:val="0"/>
    <w:rPr>
      <w:sz w:val="21"/>
      <w:szCs w:val="21"/>
    </w:rPr>
  </w:style>
  <w:style w:type="paragraph" w:customStyle="1" w:styleId="15">
    <w:name w:val="msolistparagraph"/>
    <w:basedOn w:val="1"/>
    <w:qFormat/>
    <w:uiPriority w:val="0"/>
    <w:pPr>
      <w:ind w:firstLine="420" w:firstLineChars="200"/>
    </w:pPr>
    <w:rPr>
      <w:rFonts w:ascii="Calibri" w:hAnsi="Calibri" w:eastAsia="宋体"/>
      <w:sz w:val="21"/>
      <w:szCs w:val="22"/>
    </w:rPr>
  </w:style>
  <w:style w:type="character" w:customStyle="1" w:styleId="16">
    <w:name w:val="批注框文本 Char"/>
    <w:basedOn w:val="13"/>
    <w:link w:val="6"/>
    <w:qFormat/>
    <w:uiPriority w:val="0"/>
    <w:rPr>
      <w:rFonts w:eastAsia="仿宋_GB2312"/>
      <w:kern w:val="2"/>
      <w:sz w:val="18"/>
      <w:szCs w:val="18"/>
    </w:rPr>
  </w:style>
  <w:style w:type="paragraph" w:customStyle="1" w:styleId="17">
    <w:name w:val="普通(网站)1"/>
    <w:basedOn w:val="1"/>
    <w:qFormat/>
    <w:uiPriority w:val="0"/>
    <w:pPr>
      <w:jc w:val="left"/>
    </w:pPr>
    <w:rPr>
      <w:rFonts w:ascii="Calibri" w:hAnsi="Calibri" w:eastAsia="宋体" w:cs="黑体"/>
      <w:kern w:val="0"/>
      <w:sz w:val="24"/>
      <w:szCs w:val="24"/>
    </w:rPr>
  </w:style>
  <w:style w:type="paragraph" w:customStyle="1" w:styleId="18">
    <w:name w:val="普通(网站)2"/>
    <w:basedOn w:val="1"/>
    <w:qFormat/>
    <w:uiPriority w:val="0"/>
    <w:pPr>
      <w:jc w:val="left"/>
    </w:pPr>
    <w:rPr>
      <w:rFonts w:ascii="Calibri" w:hAnsi="Calibri" w:cs="黑体"/>
      <w:kern w:val="0"/>
      <w:sz w:val="24"/>
      <w:szCs w:val="24"/>
    </w:rPr>
  </w:style>
  <w:style w:type="paragraph" w:customStyle="1" w:styleId="19">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0">
    <w:name w:val="批注文字 Char"/>
    <w:basedOn w:val="13"/>
    <w:link w:val="4"/>
    <w:qFormat/>
    <w:uiPriority w:val="0"/>
    <w:rPr>
      <w:rFonts w:eastAsia="仿宋_GB2312"/>
      <w:kern w:val="2"/>
      <w:sz w:val="30"/>
    </w:rPr>
  </w:style>
  <w:style w:type="character" w:customStyle="1" w:styleId="21">
    <w:name w:val="批注主题 Char"/>
    <w:basedOn w:val="20"/>
    <w:link w:val="10"/>
    <w:qFormat/>
    <w:uiPriority w:val="0"/>
    <w:rPr>
      <w:rFonts w:eastAsia="仿宋_GB2312"/>
      <w:b/>
      <w:bCs/>
      <w:kern w:val="2"/>
      <w:sz w:val="30"/>
    </w:rPr>
  </w:style>
  <w:style w:type="paragraph" w:styleId="22">
    <w:name w:val="List Paragraph"/>
    <w:basedOn w:val="1"/>
    <w:unhideWhenUsed/>
    <w:qFormat/>
    <w:uiPriority w:val="99"/>
    <w:pPr>
      <w:ind w:firstLine="420" w:firstLineChars="200"/>
    </w:pPr>
  </w:style>
  <w:style w:type="paragraph" w:customStyle="1" w:styleId="23">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745</Words>
  <Characters>4248</Characters>
  <Lines>35</Lines>
  <Paragraphs>9</Paragraphs>
  <TotalTime>11</TotalTime>
  <ScaleCrop>false</ScaleCrop>
  <LinksUpToDate>false</LinksUpToDate>
  <CharactersWithSpaces>4984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2022-04-02T00:25:00Z</dcterms:created>
  <dc:creator>Administrator</dc:creator>
  <cp:lastModifiedBy>采联-605</cp:lastModifiedBy>
  <cp:lastPrinted>2023-05-30T11:12:00Z</cp:lastPrinted>
  <dcterms:modified xsi:type="dcterms:W3CDTF">2023-06-06T15:50:28Z</dcterms:modified>
  <dc:title>2020年江门市工业产品生产许可证证后</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