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江门市市场监督管理局商标数据分析研究服务项目服务协议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widowControl/>
        <w:spacing w:before="312" w:beforeLines="100"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江门市市场监督管理局商标数据分析研究服务项目”（项目编号：xxxxxx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8"/>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sz w:val="28"/>
          <w:szCs w:val="28"/>
        </w:rPr>
        <w:t>商标数据分析研究服务项目</w:t>
      </w:r>
      <w:r>
        <w:rPr>
          <w:rFonts w:hint="eastAsia" w:ascii="仿宋" w:hAnsi="仿宋" w:eastAsia="仿宋" w:cs="仿宋"/>
          <w:sz w:val="28"/>
          <w:szCs w:val="28"/>
        </w:rPr>
        <w:t>，乙方的工作内容包括，组织对我市商标发展情况进行调研，组织专家开展商标数据收集、筛选，组织专家开展分析、绘制数据分析图表，组织专家开展大数据分析，结合实际情况形成报告等工作。具体工作内容及要求如下：</w:t>
      </w:r>
    </w:p>
    <w:p>
      <w:pPr>
        <w:numPr>
          <w:ilvl w:val="0"/>
          <w:numId w:val="1"/>
        </w:num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b/>
          <w:bCs/>
          <w:kern w:val="0"/>
          <w:sz w:val="28"/>
          <w:szCs w:val="28"/>
        </w:rPr>
        <w:t>组织对我市商标发展情况进行调研。</w:t>
      </w:r>
    </w:p>
    <w:p>
      <w:pPr>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1、2名专家5个工作日完成项目调研方案和报告提纲；</w:t>
      </w:r>
    </w:p>
    <w:p>
      <w:pPr>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2、调研对象：走访包括但不限于江门市重点商标保护企业、江门市重点行业协会、广东商标协会、政府部门等相关单位，不少于8家；</w:t>
      </w:r>
    </w:p>
    <w:p>
      <w:pPr>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3、提供项目实施技术咨询、指导；</w:t>
      </w:r>
    </w:p>
    <w:p>
      <w:pPr>
        <w:adjustRightInd w:val="0"/>
        <w:snapToGri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4、组织收集数据人才队伍，不少于5名调研人员，并开展岗前培训。</w:t>
      </w:r>
    </w:p>
    <w:p>
      <w:pPr>
        <w:numPr>
          <w:ilvl w:val="255"/>
          <w:numId w:val="0"/>
        </w:numPr>
        <w:spacing w:line="560" w:lineRule="exact"/>
        <w:ind w:firstLine="562" w:firstLineChars="200"/>
        <w:rPr>
          <w:spacing w:val="6"/>
          <w:sz w:val="32"/>
          <w:szCs w:val="32"/>
        </w:rPr>
      </w:pPr>
      <w:r>
        <w:rPr>
          <w:rFonts w:hint="eastAsia" w:ascii="仿宋" w:hAnsi="仿宋" w:eastAsia="仿宋" w:cs="仿宋"/>
          <w:b/>
          <w:bCs/>
          <w:kern w:val="0"/>
          <w:sz w:val="28"/>
          <w:szCs w:val="28"/>
        </w:rPr>
        <w:t>（二）</w:t>
      </w:r>
      <w:r>
        <w:rPr>
          <w:rFonts w:hint="eastAsia" w:ascii="仿宋" w:hAnsi="仿宋" w:eastAsia="仿宋" w:cs="仿宋"/>
          <w:b/>
          <w:bCs/>
          <w:sz w:val="28"/>
          <w:szCs w:val="28"/>
        </w:rPr>
        <w:t>乙方</w:t>
      </w:r>
      <w:r>
        <w:rPr>
          <w:rFonts w:hint="eastAsia" w:ascii="仿宋" w:hAnsi="仿宋" w:eastAsia="仿宋" w:cs="仿宋"/>
          <w:b/>
          <w:bCs/>
          <w:kern w:val="0"/>
          <w:sz w:val="28"/>
          <w:szCs w:val="28"/>
        </w:rPr>
        <w:t>组织专家开展商标数据收集、筛选。</w:t>
      </w:r>
      <w:r>
        <w:rPr>
          <w:rFonts w:hint="eastAsia"/>
          <w:spacing w:val="6"/>
          <w:sz w:val="32"/>
          <w:szCs w:val="32"/>
        </w:rPr>
        <w:t>包含但不限于：</w:t>
      </w:r>
    </w:p>
    <w:p>
      <w:pPr>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对申请注册地系江门市（含三区四市）的企业、个人的国内商标情况，就商标注册数量（截至2022年12月，全市111316件）、产业分析、商标法律状态、商标质押、商标许可、商标代理情况等多维度数据统计分析；</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2、对申请注册地为江门市（含三区四市）的企业、个人的马德里商标情况，就商标申请数量、商标类别、商标法律状态等多维度数据统计分析；</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3、结合商标数据对近五年江门市重点行业、重点企业商标发展情况统计及分析；</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4、对江门市（含三区四市）集体商标、证明商标、地理商标现有情况统计及分析；</w:t>
      </w: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5、对江门市（含三区四市）荣誉性商标如驰名商标、广东省重点商标保护名录等现有情况统计与分析。</w:t>
      </w:r>
    </w:p>
    <w:p>
      <w:pPr>
        <w:pStyle w:val="18"/>
        <w:numPr>
          <w:ilvl w:val="255"/>
          <w:numId w:val="0"/>
        </w:num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（三）乙方组织专家开展分析、绘制数据分析图表。</w:t>
      </w:r>
      <w:r>
        <w:rPr>
          <w:rFonts w:hint="eastAsia" w:ascii="仿宋" w:hAnsi="仿宋" w:eastAsia="仿宋" w:cs="仿宋"/>
          <w:sz w:val="28"/>
          <w:szCs w:val="28"/>
        </w:rPr>
        <w:t>进行区域商标数据分析、绘制数据分析图表。根据国家知识产权局知识产权运用促进司指导中华商标协会编制发布的《中国商标品牌发展指数(2022)》，选取全国商标品牌工作突出的省份（如广东、浙江、北京、江苏、上海）的核心城市（不少于5个）进行对比，为江门市商标品牌运用推进、质量提升和效益实现提供工作指导。</w:t>
      </w:r>
    </w:p>
    <w:p>
      <w:pPr>
        <w:widowControl/>
        <w:ind w:firstLine="562" w:firstLineChars="200"/>
        <w:jc w:val="left"/>
        <w:rPr>
          <w:rFonts w:ascii="仿宋" w:hAnsi="仿宋" w:eastAsia="仿宋" w:cs="仿宋"/>
          <w:kern w:val="0"/>
          <w:sz w:val="28"/>
          <w:szCs w:val="28"/>
        </w:rPr>
      </w:pPr>
      <w:r>
        <w:rPr>
          <w:rFonts w:hint="eastAsia" w:ascii="仿宋" w:hAnsi="仿宋" w:eastAsia="仿宋" w:cs="仿宋"/>
          <w:b/>
          <w:bCs/>
          <w:sz w:val="28"/>
          <w:szCs w:val="28"/>
        </w:rPr>
        <w:t>（四）乙方</w:t>
      </w:r>
      <w:r>
        <w:rPr>
          <w:rFonts w:hint="eastAsia" w:ascii="仿宋" w:hAnsi="仿宋" w:eastAsia="仿宋" w:cs="仿宋"/>
          <w:b/>
          <w:bCs/>
          <w:kern w:val="0"/>
          <w:sz w:val="28"/>
          <w:szCs w:val="28"/>
        </w:rPr>
        <w:t>组织专家开展大数据分析，结合实际情况形成报告。</w:t>
      </w:r>
      <w:r>
        <w:rPr>
          <w:rFonts w:hint="eastAsia" w:ascii="仿宋" w:hAnsi="仿宋" w:eastAsia="仿宋" w:cs="仿宋"/>
          <w:kern w:val="0"/>
          <w:sz w:val="28"/>
          <w:szCs w:val="28"/>
        </w:rPr>
        <w:t>依据《商标法》《商标审查指南》等法律规定，依据实际数据提供分析建议，并经评议形成完整的发展情况分析报告。以下资金估算主要通过三方询价，对比同等资质、规模、服务项目经验的知识产权代理机构、协会所提供的报价。</w:t>
      </w:r>
    </w:p>
    <w:p>
      <w:pPr>
        <w:pStyle w:val="18"/>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（五）乙方负责人员管理工作。</w:t>
      </w:r>
      <w:r>
        <w:rPr>
          <w:rFonts w:hint="eastAsia" w:ascii="仿宋" w:hAnsi="仿宋" w:eastAsia="仿宋" w:cs="仿宋"/>
          <w:sz w:val="28"/>
          <w:szCs w:val="28"/>
        </w:rPr>
        <w:t>对参加项目人员的交通、餐饮、防疫等相关工作进行统筹及执行，保证整体活动在符合疫情防控的条件下有序开展。</w:t>
      </w:r>
    </w:p>
    <w:p>
      <w:pPr>
        <w:pStyle w:val="17"/>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7"/>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（一）乙方向甲方提供服务的协议期限为自本协议签订生效之日起至</w:t>
      </w:r>
      <w:r>
        <w:rPr>
          <w:rFonts w:ascii="仿宋" w:hAnsi="仿宋" w:eastAsia="仿宋" w:cs="仿宋"/>
          <w:color w:val="000000"/>
          <w:sz w:val="28"/>
          <w:szCs w:val="28"/>
        </w:rPr>
        <w:t>2023年11月20日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auto"/>
          <w:sz w:val="28"/>
          <w:szCs w:val="28"/>
        </w:rPr>
        <w:t>总费用（含税价）为人民币壹拾伍万元整（</w:t>
      </w:r>
      <w:r>
        <w:rPr>
          <w:rFonts w:ascii="仿宋" w:hAnsi="仿宋" w:eastAsia="仿宋" w:cs="仿宋"/>
          <w:bCs w:val="0"/>
          <w:sz w:val="28"/>
          <w:szCs w:val="28"/>
          <w:u w:val="none"/>
        </w:rPr>
        <w:t>¥150,000.00</w:t>
      </w:r>
      <w:r>
        <w:rPr>
          <w:rFonts w:hint="eastAsia" w:ascii="仿宋" w:hAnsi="仿宋" w:eastAsia="仿宋" w:cs="仿宋"/>
          <w:bCs w:val="0"/>
          <w:sz w:val="28"/>
          <w:szCs w:val="28"/>
          <w:u w:val="none"/>
        </w:rPr>
        <w:t>元）。</w:t>
      </w:r>
      <w:r>
        <w:rPr>
          <w:rFonts w:hint="eastAsia" w:ascii="仿宋" w:hAnsi="仿宋" w:eastAsia="仿宋" w:cs="仿宋"/>
          <w:spacing w:val="0"/>
          <w:sz w:val="28"/>
          <w:szCs w:val="28"/>
        </w:rPr>
        <w:t>项目总费用包含调研、数据收集分析以及形成报告工作人员的劳务费、食宿费、交通费及由此产生的费用等</w:t>
      </w:r>
      <w:r>
        <w:rPr>
          <w:rFonts w:hint="eastAsia" w:ascii="仿宋" w:hAnsi="仿宋" w:eastAsia="仿宋" w:cs="仿宋"/>
          <w:sz w:val="28"/>
          <w:szCs w:val="28"/>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第一期：甲、乙双方签订本协议后，甲方收到乙方开具的相对应金额发票之日起30个工作日内，向乙方支付项目总费用60%，即</w:t>
      </w:r>
      <w:r>
        <w:rPr>
          <w:rFonts w:hint="eastAsia" w:ascii="仿宋" w:hAnsi="仿宋" w:eastAsia="仿宋" w:cs="仿宋"/>
          <w:sz w:val="28"/>
          <w:szCs w:val="28"/>
          <w:u w:val="single"/>
        </w:rPr>
        <w:t>人民币玖</w:t>
      </w:r>
      <w:r>
        <w:rPr>
          <w:rFonts w:hint="eastAsia" w:ascii="仿宋" w:hAnsi="仿宋" w:eastAsia="仿宋" w:cs="仿宋"/>
          <w:bCs/>
          <w:sz w:val="28"/>
          <w:szCs w:val="28"/>
          <w:u w:val="single"/>
          <w:lang w:bidi="ar"/>
        </w:rPr>
        <w:t>万捌仟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90000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第二期：本协议签订满30日且乙方工作进度达60%，由乙方向甲方提出支付申请，甲方审核通过后，向乙方支付项目总费用30%，即</w:t>
      </w:r>
      <w:r>
        <w:rPr>
          <w:rFonts w:hint="eastAsia" w:ascii="仿宋" w:hAnsi="仿宋" w:eastAsia="仿宋" w:cs="仿宋"/>
          <w:sz w:val="28"/>
          <w:szCs w:val="28"/>
          <w:u w:val="single"/>
        </w:rPr>
        <w:t>人民币</w:t>
      </w:r>
      <w:r>
        <w:rPr>
          <w:rFonts w:hint="eastAsia" w:ascii="仿宋" w:hAnsi="仿宋" w:eastAsia="仿宋" w:cs="仿宋"/>
          <w:bCs/>
          <w:sz w:val="28"/>
          <w:szCs w:val="28"/>
          <w:u w:val="single"/>
          <w:lang w:bidi="ar"/>
        </w:rPr>
        <w:t>肆万</w:t>
      </w:r>
      <w:r>
        <w:rPr>
          <w:rFonts w:hint="eastAsia" w:ascii="仿宋" w:hAnsi="仿宋" w:eastAsia="仿宋" w:cs="仿宋"/>
          <w:sz w:val="28"/>
          <w:szCs w:val="28"/>
          <w:u w:val="single"/>
        </w:rPr>
        <w:t>伍</w:t>
      </w:r>
      <w:r>
        <w:rPr>
          <w:rFonts w:hint="eastAsia" w:ascii="仿宋" w:hAnsi="仿宋" w:eastAsia="仿宋" w:cs="仿宋"/>
          <w:bCs/>
          <w:sz w:val="28"/>
          <w:szCs w:val="28"/>
          <w:u w:val="single"/>
          <w:lang w:bidi="ar"/>
        </w:rPr>
        <w:t>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45000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第三期：项目完成后，由乙方向甲方提出支付申请，甲方审核通过后，自收到乙方开具的相对应金额发票之日起30个工作日内向乙方支付剩余的项目总费用10%，即</w:t>
      </w:r>
      <w:r>
        <w:rPr>
          <w:rFonts w:hint="eastAsia" w:ascii="仿宋" w:hAnsi="仿宋" w:eastAsia="仿宋" w:cs="仿宋"/>
          <w:sz w:val="28"/>
          <w:szCs w:val="28"/>
          <w:u w:val="single"/>
        </w:rPr>
        <w:t>人民币壹</w:t>
      </w:r>
      <w:r>
        <w:rPr>
          <w:rFonts w:hint="eastAsia" w:ascii="仿宋" w:hAnsi="仿宋" w:eastAsia="仿宋" w:cs="仿宋"/>
          <w:bCs/>
          <w:sz w:val="28"/>
          <w:szCs w:val="28"/>
          <w:u w:val="single"/>
          <w:lang w:bidi="ar"/>
        </w:rPr>
        <w:t>万伍仟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15000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56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9"/>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color w:val="auto"/>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3"/>
        <w:numPr>
          <w:ilvl w:val="0"/>
          <w:numId w:val="8"/>
        </w:numPr>
        <w:spacing w:line="560" w:lineRule="exact"/>
        <w:ind w:firstLine="560"/>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3"/>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11"/>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1"/>
        <w:numPr>
          <w:ilvl w:val="0"/>
          <w:numId w:val="13"/>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江门市市场监督管理局商标数据分析研究服务</w:t>
      </w:r>
      <w:r>
        <w:rPr>
          <w:rFonts w:hint="eastAsia" w:ascii="仿宋" w:hAnsi="仿宋" w:eastAsia="仿宋" w:cs="仿宋"/>
          <w:szCs w:val="28"/>
        </w:rPr>
        <w:t>项目采购公告；</w:t>
      </w:r>
    </w:p>
    <w:p>
      <w:pPr>
        <w:pStyle w:val="11"/>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11"/>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3FF3F91E"/>
    <w:multiLevelType w:val="singleLevel"/>
    <w:tmpl w:val="3FF3F91E"/>
    <w:lvl w:ilvl="0" w:tentative="0">
      <w:start w:val="1"/>
      <w:numFmt w:val="chineseCounting"/>
      <w:suff w:val="nothing"/>
      <w:lvlText w:val="（%1）"/>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6"/>
  </w:num>
  <w:num w:numId="2">
    <w:abstractNumId w:val="4"/>
  </w:num>
  <w:num w:numId="3">
    <w:abstractNumId w:val="10"/>
  </w:num>
  <w:num w:numId="4">
    <w:abstractNumId w:val="11"/>
  </w:num>
  <w:num w:numId="5">
    <w:abstractNumId w:val="1"/>
  </w:num>
  <w:num w:numId="6">
    <w:abstractNumId w:val="8"/>
  </w:num>
  <w:num w:numId="7">
    <w:abstractNumId w:val="12"/>
  </w:num>
  <w:num w:numId="8">
    <w:abstractNumId w:val="3"/>
  </w:num>
  <w:num w:numId="9">
    <w:abstractNumId w:val="2"/>
  </w:num>
  <w:num w:numId="10">
    <w:abstractNumId w:val="5"/>
  </w:num>
  <w:num w:numId="11">
    <w:abstractNumId w:val="7"/>
    <w:lvlOverride w:ilvl="0">
      <w:startOverride w:val="1"/>
    </w:lvlOverride>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A5D54"/>
    <w:rsid w:val="000C2B5A"/>
    <w:rsid w:val="00164959"/>
    <w:rsid w:val="001A07F1"/>
    <w:rsid w:val="001D3FEC"/>
    <w:rsid w:val="001E5FF1"/>
    <w:rsid w:val="00200E0F"/>
    <w:rsid w:val="00201EA2"/>
    <w:rsid w:val="00291039"/>
    <w:rsid w:val="002A1EA9"/>
    <w:rsid w:val="003B6187"/>
    <w:rsid w:val="00426D70"/>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80374B"/>
    <w:rsid w:val="0082684F"/>
    <w:rsid w:val="00851044"/>
    <w:rsid w:val="008C17C3"/>
    <w:rsid w:val="00966288"/>
    <w:rsid w:val="0099689B"/>
    <w:rsid w:val="00AB5B9C"/>
    <w:rsid w:val="00AC6D3E"/>
    <w:rsid w:val="00B06102"/>
    <w:rsid w:val="00B2677F"/>
    <w:rsid w:val="00BA175D"/>
    <w:rsid w:val="00BC0846"/>
    <w:rsid w:val="00BE58C0"/>
    <w:rsid w:val="00C55184"/>
    <w:rsid w:val="00C65C3A"/>
    <w:rsid w:val="00CA408D"/>
    <w:rsid w:val="00CB7982"/>
    <w:rsid w:val="00D00D3C"/>
    <w:rsid w:val="00D34A03"/>
    <w:rsid w:val="00D8556E"/>
    <w:rsid w:val="00DA2112"/>
    <w:rsid w:val="00DA793C"/>
    <w:rsid w:val="00DE23D9"/>
    <w:rsid w:val="00DE3579"/>
    <w:rsid w:val="00DF23C1"/>
    <w:rsid w:val="00E33C41"/>
    <w:rsid w:val="00EB5320"/>
    <w:rsid w:val="00EB63F1"/>
    <w:rsid w:val="00EC2FD9"/>
    <w:rsid w:val="00EC66CC"/>
    <w:rsid w:val="00F301DB"/>
    <w:rsid w:val="00F32739"/>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2FF91F6F"/>
    <w:rsid w:val="391A5AE0"/>
    <w:rsid w:val="3B19643C"/>
    <w:rsid w:val="3B44506A"/>
    <w:rsid w:val="3EF5AA30"/>
    <w:rsid w:val="3FA76621"/>
    <w:rsid w:val="404A6C17"/>
    <w:rsid w:val="43F43818"/>
    <w:rsid w:val="452404E0"/>
    <w:rsid w:val="47C7B3FB"/>
    <w:rsid w:val="4B562BFB"/>
    <w:rsid w:val="4D261BEA"/>
    <w:rsid w:val="4DD70C4E"/>
    <w:rsid w:val="5789094D"/>
    <w:rsid w:val="5BB2671C"/>
    <w:rsid w:val="5BEF185C"/>
    <w:rsid w:val="5DFF39D1"/>
    <w:rsid w:val="690D3BC4"/>
    <w:rsid w:val="693B3F28"/>
    <w:rsid w:val="6B160BA9"/>
    <w:rsid w:val="6B7E7578"/>
    <w:rsid w:val="6C7B1287"/>
    <w:rsid w:val="6F597EAD"/>
    <w:rsid w:val="6F5F4F93"/>
    <w:rsid w:val="6FEEE94F"/>
    <w:rsid w:val="718B1CD0"/>
    <w:rsid w:val="72AF67A9"/>
    <w:rsid w:val="73ED5ED3"/>
    <w:rsid w:val="76A81E4D"/>
    <w:rsid w:val="77F56405"/>
    <w:rsid w:val="79276609"/>
    <w:rsid w:val="79FD0554"/>
    <w:rsid w:val="7A6597BF"/>
    <w:rsid w:val="7AFDBDC1"/>
    <w:rsid w:val="7AFF012B"/>
    <w:rsid w:val="7B5E7625"/>
    <w:rsid w:val="7BFF43A8"/>
    <w:rsid w:val="7EFEE140"/>
    <w:rsid w:val="7F3F9044"/>
    <w:rsid w:val="7F6FEAE8"/>
    <w:rsid w:val="7FF7852A"/>
    <w:rsid w:val="7FFD0E42"/>
    <w:rsid w:val="9CFB3564"/>
    <w:rsid w:val="ADFD9A6B"/>
    <w:rsid w:val="BBFCCF91"/>
    <w:rsid w:val="BD7E1CA7"/>
    <w:rsid w:val="BFB7ADE0"/>
    <w:rsid w:val="D6BD59A0"/>
    <w:rsid w:val="DDFE42F3"/>
    <w:rsid w:val="ED574106"/>
    <w:rsid w:val="EF7D8F61"/>
    <w:rsid w:val="F0BF2FA0"/>
    <w:rsid w:val="F3CF9E3A"/>
    <w:rsid w:val="F76E6672"/>
    <w:rsid w:val="F9CED2AB"/>
    <w:rsid w:val="F9DACFC2"/>
    <w:rsid w:val="FBFE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qFormat/>
    <w:uiPriority w:val="0"/>
    <w:pPr>
      <w:keepNext/>
      <w:outlineLvl w:val="2"/>
    </w:pPr>
    <w:rPr>
      <w:rFonts w:ascii="楷体_GB2312" w:hAnsi="宋体" w:eastAsia="楷体_GB2312"/>
      <w:b/>
      <w:bCs/>
      <w:sz w:val="32"/>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widowControl/>
      <w:ind w:firstLine="420" w:firstLineChars="200"/>
    </w:pPr>
  </w:style>
  <w:style w:type="paragraph" w:styleId="4">
    <w:name w:val="annotation text"/>
    <w:basedOn w:val="1"/>
    <w:link w:val="20"/>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4"/>
    <w:next w:val="4"/>
    <w:link w:val="21"/>
    <w:qFormat/>
    <w:uiPriority w:val="0"/>
    <w:rPr>
      <w:b/>
      <w:bCs/>
    </w:rPr>
  </w:style>
  <w:style w:type="paragraph" w:styleId="11">
    <w:name w:val="Body Text First Indent 2"/>
    <w:basedOn w:val="5"/>
    <w:qFormat/>
    <w:uiPriority w:val="0"/>
    <w:pPr>
      <w:ind w:firstLine="420" w:firstLineChars="200"/>
    </w:pPr>
    <w:rPr>
      <w:rFonts w:ascii="宋体" w:hAnsi="MS Sans Serif"/>
      <w:spacing w:val="12"/>
    </w:rPr>
  </w:style>
  <w:style w:type="character" w:styleId="14">
    <w:name w:val="annotation reference"/>
    <w:basedOn w:val="13"/>
    <w:qFormat/>
    <w:uiPriority w:val="0"/>
    <w:rPr>
      <w:sz w:val="21"/>
      <w:szCs w:val="21"/>
    </w:rPr>
  </w:style>
  <w:style w:type="paragraph" w:customStyle="1" w:styleId="15">
    <w:name w:val="msolistparagraph"/>
    <w:basedOn w:val="1"/>
    <w:qFormat/>
    <w:uiPriority w:val="0"/>
    <w:pPr>
      <w:ind w:firstLine="420" w:firstLineChars="200"/>
    </w:pPr>
    <w:rPr>
      <w:rFonts w:ascii="Calibri" w:hAnsi="Calibri" w:eastAsia="宋体"/>
      <w:sz w:val="21"/>
      <w:szCs w:val="22"/>
    </w:rPr>
  </w:style>
  <w:style w:type="character" w:customStyle="1" w:styleId="16">
    <w:name w:val="批注框文本 Char"/>
    <w:basedOn w:val="13"/>
    <w:link w:val="6"/>
    <w:qFormat/>
    <w:uiPriority w:val="0"/>
    <w:rPr>
      <w:rFonts w:eastAsia="仿宋_GB2312"/>
      <w:kern w:val="2"/>
      <w:sz w:val="18"/>
      <w:szCs w:val="18"/>
    </w:rPr>
  </w:style>
  <w:style w:type="paragraph" w:customStyle="1" w:styleId="17">
    <w:name w:val="普通(网站)1"/>
    <w:basedOn w:val="1"/>
    <w:qFormat/>
    <w:uiPriority w:val="0"/>
    <w:pPr>
      <w:jc w:val="left"/>
    </w:pPr>
    <w:rPr>
      <w:rFonts w:ascii="Calibri" w:hAnsi="Calibri" w:eastAsia="宋体" w:cs="黑体"/>
      <w:kern w:val="0"/>
      <w:sz w:val="24"/>
      <w:szCs w:val="24"/>
    </w:rPr>
  </w:style>
  <w:style w:type="paragraph" w:customStyle="1" w:styleId="18">
    <w:name w:val="普通(网站)2"/>
    <w:basedOn w:val="1"/>
    <w:qFormat/>
    <w:uiPriority w:val="0"/>
    <w:pPr>
      <w:jc w:val="left"/>
    </w:pPr>
    <w:rPr>
      <w:rFonts w:ascii="Calibri" w:hAnsi="Calibri" w:cs="黑体"/>
      <w:kern w:val="0"/>
      <w:sz w:val="24"/>
      <w:szCs w:val="24"/>
    </w:rPr>
  </w:style>
  <w:style w:type="paragraph" w:customStyle="1" w:styleId="19">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0">
    <w:name w:val="批注文字 Char"/>
    <w:basedOn w:val="13"/>
    <w:link w:val="4"/>
    <w:qFormat/>
    <w:uiPriority w:val="0"/>
    <w:rPr>
      <w:rFonts w:eastAsia="仿宋_GB2312"/>
      <w:kern w:val="2"/>
      <w:sz w:val="30"/>
    </w:rPr>
  </w:style>
  <w:style w:type="character" w:customStyle="1" w:styleId="21">
    <w:name w:val="批注主题 Char"/>
    <w:basedOn w:val="20"/>
    <w:link w:val="10"/>
    <w:qFormat/>
    <w:uiPriority w:val="0"/>
    <w:rPr>
      <w:rFonts w:eastAsia="仿宋_GB2312"/>
      <w:b/>
      <w:bCs/>
      <w:kern w:val="2"/>
      <w:sz w:val="30"/>
    </w:rPr>
  </w:style>
  <w:style w:type="paragraph" w:styleId="22">
    <w:name w:val="List Paragraph"/>
    <w:basedOn w:val="1"/>
    <w:unhideWhenUsed/>
    <w:qFormat/>
    <w:uiPriority w:val="99"/>
    <w:pPr>
      <w:ind w:firstLine="420" w:firstLineChars="200"/>
    </w:pPr>
  </w:style>
  <w:style w:type="paragraph" w:customStyle="1" w:styleId="23">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733</Words>
  <Characters>4181</Characters>
  <Lines>34</Lines>
  <Paragraphs>9</Paragraphs>
  <TotalTime>34</TotalTime>
  <ScaleCrop>false</ScaleCrop>
  <LinksUpToDate>false</LinksUpToDate>
  <CharactersWithSpaces>4905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2022-04-02T00:25:00Z</dcterms:created>
  <dc:creator>Administrator</dc:creator>
  <cp:lastModifiedBy>采联-605</cp:lastModifiedBy>
  <cp:lastPrinted>2023-05-30T18:53:00Z</cp:lastPrinted>
  <dcterms:modified xsi:type="dcterms:W3CDTF">2023-06-05T14:24:35Z</dcterms:modified>
  <dc:title>2020年江门市工业产品生产许可证证后</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06F1C21BD2E84612A97A5835131F79AE</vt:lpwstr>
  </property>
</Properties>
</file>