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宋体" w:hAnsi="宋体" w:eastAsia="宋体" w:cs="宋体"/>
          <w:b/>
          <w:kern w:val="44"/>
          <w:sz w:val="44"/>
          <w:szCs w:val="44"/>
          <w:shd w:val="clear" w:color="auto" w:fill="FFFFFF"/>
        </w:rPr>
      </w:pPr>
      <w:bookmarkStart w:id="0" w:name="_GoBack"/>
      <w:bookmarkEnd w:id="0"/>
      <w:r>
        <w:rPr>
          <w:rFonts w:hint="eastAsia" w:ascii="宋体" w:hAnsi="宋体" w:eastAsia="宋体" w:cs="宋体"/>
          <w:b/>
          <w:kern w:val="44"/>
          <w:sz w:val="44"/>
          <w:szCs w:val="44"/>
          <w:shd w:val="clear" w:color="auto" w:fill="FFFFFF"/>
        </w:rPr>
        <w:t>江门市市场监督管理局2023年食品相关产品生产许可证后技术性监督检查</w:t>
      </w:r>
      <w:r>
        <w:rPr>
          <w:rFonts w:hint="eastAsia" w:ascii="宋体" w:hAnsi="宋体" w:eastAsia="宋体" w:cs="宋体"/>
          <w:b/>
          <w:kern w:val="44"/>
          <w:sz w:val="44"/>
          <w:szCs w:val="44"/>
          <w:shd w:val="clear" w:color="auto" w:fill="FFFFFF"/>
        </w:rPr>
        <w:br w:type="textWrapping"/>
      </w:r>
      <w:r>
        <w:rPr>
          <w:rFonts w:hint="eastAsia" w:ascii="宋体" w:hAnsi="宋体" w:eastAsia="宋体" w:cs="宋体"/>
          <w:b/>
          <w:kern w:val="44"/>
          <w:sz w:val="44"/>
          <w:szCs w:val="44"/>
          <w:shd w:val="clear" w:color="auto" w:fill="FFFFFF"/>
        </w:rPr>
        <w:t>服务项目服务合同</w:t>
      </w:r>
    </w:p>
    <w:p>
      <w:pPr>
        <w:spacing w:line="480" w:lineRule="exact"/>
        <w:rPr>
          <w:rFonts w:ascii="仿宋" w:hAnsi="仿宋" w:eastAsia="仿宋" w:cs="仿宋"/>
          <w:sz w:val="28"/>
          <w:szCs w:val="28"/>
          <w:u w:val="single"/>
        </w:rPr>
      </w:pPr>
    </w:p>
    <w:p>
      <w:pPr>
        <w:spacing w:line="480" w:lineRule="exact"/>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u w:val="single"/>
        </w:rPr>
        <w:t>江门市市场监督管理局</w:t>
      </w:r>
      <w:r>
        <w:rPr>
          <w:rFonts w:hint="eastAsia"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江门市东华二路7号</w:t>
      </w:r>
      <w:r>
        <w:rPr>
          <w:rFonts w:hint="eastAsia"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spacing w:line="480" w:lineRule="exact"/>
        <w:rPr>
          <w:rFonts w:ascii="仿宋" w:hAnsi="仿宋" w:eastAsia="仿宋" w:cs="仿宋"/>
          <w:bCs/>
          <w:sz w:val="28"/>
          <w:szCs w:val="28"/>
          <w:lang w:bidi="ar"/>
        </w:rPr>
      </w:pPr>
      <w:r>
        <w:rPr>
          <w:rFonts w:hint="eastAsia" w:ascii="仿宋" w:hAnsi="仿宋" w:eastAsia="仿宋" w:cs="仿宋"/>
          <w:b/>
          <w:bCs/>
          <w:sz w:val="28"/>
          <w:szCs w:val="28"/>
          <w:lang w:bidi="ar"/>
        </w:rPr>
        <w:t xml:space="preserve">乙方： </w:t>
      </w:r>
    </w:p>
    <w:p>
      <w:pPr>
        <w:spacing w:line="480" w:lineRule="exact"/>
        <w:rPr>
          <w:rFonts w:ascii="仿宋" w:hAnsi="仿宋" w:eastAsia="仿宋" w:cs="仿宋"/>
          <w:bCs/>
          <w:sz w:val="28"/>
          <w:szCs w:val="28"/>
          <w:lang w:bidi="ar"/>
        </w:rPr>
      </w:pPr>
      <w:r>
        <w:rPr>
          <w:rFonts w:hint="eastAsia" w:ascii="仿宋" w:hAnsi="仿宋" w:eastAsia="仿宋" w:cs="仿宋"/>
          <w:bCs/>
          <w:sz w:val="28"/>
          <w:szCs w:val="28"/>
          <w:lang w:bidi="ar"/>
        </w:rPr>
        <w:t xml:space="preserve">地址： </w:t>
      </w:r>
    </w:p>
    <w:p>
      <w:pPr>
        <w:spacing w:line="480" w:lineRule="exact"/>
        <w:rPr>
          <w:rFonts w:ascii="仿宋" w:hAnsi="仿宋" w:eastAsia="仿宋" w:cs="仿宋"/>
          <w:bCs/>
          <w:sz w:val="28"/>
          <w:szCs w:val="28"/>
          <w:lang w:bidi="ar"/>
        </w:rPr>
      </w:pPr>
      <w:r>
        <w:rPr>
          <w:rFonts w:hint="eastAsia" w:ascii="仿宋" w:hAnsi="仿宋" w:eastAsia="仿宋" w:cs="仿宋"/>
          <w:bCs/>
          <w:sz w:val="28"/>
          <w:szCs w:val="28"/>
          <w:lang w:bidi="ar"/>
        </w:rPr>
        <w:t>联系人：</w:t>
      </w:r>
    </w:p>
    <w:p>
      <w:pPr>
        <w:spacing w:line="480" w:lineRule="exact"/>
        <w:rPr>
          <w:rFonts w:ascii="仿宋" w:hAnsi="仿宋" w:eastAsia="仿宋" w:cs="仿宋"/>
          <w:bCs/>
          <w:sz w:val="28"/>
          <w:szCs w:val="28"/>
          <w:lang w:bidi="ar"/>
        </w:rPr>
      </w:pPr>
      <w:r>
        <w:rPr>
          <w:rFonts w:hint="eastAsia" w:ascii="仿宋" w:hAnsi="仿宋" w:eastAsia="仿宋" w:cs="仿宋"/>
          <w:bCs/>
          <w:sz w:val="28"/>
          <w:szCs w:val="28"/>
          <w:lang w:bidi="ar"/>
        </w:rPr>
        <w:t xml:space="preserve">电话： </w:t>
      </w:r>
    </w:p>
    <w:p>
      <w:pPr>
        <w:pStyle w:val="2"/>
        <w:rPr>
          <w:lang w:bidi="ar"/>
        </w:rPr>
      </w:pP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江门市市场监督管理局2023年食品相关产品生产许可证后技术性监督检查服务项目”（项目编号：XXXX）（以下简称项目）的采购公告、项目采购结果公告的要求，按照《中华人民共和国政府采购法》及其实施条例等相关法律法规的规定，经双方协商，本着平等互利和诚实信用的原则，一致同意签订本合同如下：</w:t>
      </w:r>
    </w:p>
    <w:p>
      <w:pPr>
        <w:numPr>
          <w:ilvl w:val="0"/>
          <w:numId w:val="1"/>
        </w:numPr>
        <w:spacing w:line="480" w:lineRule="exact"/>
        <w:ind w:firstLine="0"/>
        <w:rPr>
          <w:rFonts w:ascii="仿宋" w:hAnsi="仿宋" w:eastAsia="仿宋" w:cs="仿宋"/>
          <w:sz w:val="28"/>
          <w:szCs w:val="28"/>
        </w:rPr>
      </w:pPr>
      <w:r>
        <w:rPr>
          <w:rFonts w:hint="eastAsia" w:ascii="仿宋" w:hAnsi="仿宋" w:eastAsia="仿宋" w:cs="仿宋"/>
          <w:b/>
          <w:bCs/>
          <w:sz w:val="28"/>
          <w:szCs w:val="28"/>
        </w:rPr>
        <w:t>项目服务内容及要求</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项目服务内容</w:t>
      </w:r>
    </w:p>
    <w:p>
      <w:pPr>
        <w:numPr>
          <w:ilvl w:val="255"/>
          <w:numId w:val="0"/>
        </w:numPr>
        <w:tabs>
          <w:tab w:val="left" w:pos="189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甲方委托乙方组织符合一定资质要求的技术专家组成检查组（由乙方提交专家成员名单并由甲方最终确定），按照《广东省质监局工业产品（含食品相关产品）生产许可事中事后监督检查工作指引（试行）》的规定，对江门市食品相关产品生产许可获证企业开展技术性监督检查，检查企业数量不少于20家次（具体被检查单位名单以甲方任务委托书为准）。</w:t>
      </w:r>
    </w:p>
    <w:p>
      <w:pPr>
        <w:numPr>
          <w:ilvl w:val="255"/>
          <w:numId w:val="0"/>
        </w:numPr>
        <w:tabs>
          <w:tab w:val="left" w:pos="1890"/>
        </w:tabs>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日常监督检查是指对江门市食品生产经营者开展的常规性检查；飞行检查是指对食品生产经营者依法开展的不预先告知的监督检查；体系检查是指对特殊食品、高风险大宗食品生产企业和大型食品经营企业等的质量管理体系执行情况依法开展的系统性监督检查。</w:t>
      </w:r>
    </w:p>
    <w:p>
      <w:pPr>
        <w:numPr>
          <w:ilvl w:val="0"/>
          <w:numId w:val="2"/>
        </w:numPr>
        <w:spacing w:line="480" w:lineRule="exact"/>
        <w:ind w:firstLine="560"/>
        <w:rPr>
          <w:rFonts w:ascii="仿宋" w:hAnsi="仿宋" w:eastAsia="仿宋" w:cs="仿宋"/>
          <w:sz w:val="28"/>
          <w:szCs w:val="28"/>
        </w:rPr>
      </w:pPr>
      <w:r>
        <w:rPr>
          <w:rFonts w:hint="eastAsia" w:ascii="仿宋" w:hAnsi="仿宋" w:eastAsia="仿宋" w:cs="仿宋"/>
          <w:sz w:val="28"/>
          <w:szCs w:val="28"/>
        </w:rPr>
        <w:t>检查内容</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甲、乙双方签订合同之日起</w:t>
      </w:r>
      <w:r>
        <w:rPr>
          <w:rFonts w:hint="eastAsia" w:ascii="仿宋" w:hAnsi="仿宋" w:eastAsia="仿宋" w:cs="仿宋"/>
          <w:color w:val="FF0000"/>
          <w:sz w:val="28"/>
          <w:szCs w:val="28"/>
        </w:rPr>
        <w:t>10</w:t>
      </w:r>
      <w:r>
        <w:rPr>
          <w:rFonts w:ascii="仿宋" w:hAnsi="仿宋" w:eastAsia="仿宋" w:cs="仿宋"/>
          <w:sz w:val="28"/>
          <w:szCs w:val="28"/>
        </w:rPr>
        <w:t>日内</w:t>
      </w:r>
      <w:r>
        <w:rPr>
          <w:rFonts w:hint="eastAsia" w:ascii="仿宋" w:hAnsi="仿宋" w:eastAsia="仿宋" w:cs="仿宋"/>
          <w:sz w:val="28"/>
          <w:szCs w:val="28"/>
        </w:rPr>
        <w:t>乙方应根据《中华人民共和国食品安全法》《</w:t>
      </w:r>
      <w:r>
        <w:fldChar w:fldCharType="begin"/>
      </w:r>
      <w:r>
        <w:instrText xml:space="preserve"> HYPERLINK "https://www.so.com/link?m=a1wswMcu+GJUP+6GfSBoV2ICiEiSWnCoeovsVmKbToHnneKzgLAUznHw54bpoezhcOjrFtCjzSJnwx4yot1BXD+Cg+gvJFHUJIV6AlcgWFjxjv/eh63uilyMgMySokdYVtQEF6ISJ4ymm6jFULLPRIQYkV5ewgAlL1eweNCpdR1ofduxqyFCyxl5JRytBrJ63EvWqfHIDcL+IT44SD5ZtDof1K1Q2ZkKrDflwpAMeCMa8F/RTsE2IT9R4NYU=" \t "C:UsersAdministratorDesktop_blank" </w:instrText>
      </w:r>
      <w:r>
        <w:fldChar w:fldCharType="separate"/>
      </w:r>
      <w:r>
        <w:rPr>
          <w:rStyle w:val="11"/>
          <w:rFonts w:hint="eastAsia" w:ascii="仿宋" w:hAnsi="仿宋" w:eastAsia="仿宋" w:cs="仿宋"/>
          <w:color w:val="auto"/>
          <w:sz w:val="28"/>
          <w:szCs w:val="28"/>
        </w:rPr>
        <w:t>中华人民共和国工业产品生产许可证管理条例</w:t>
      </w:r>
      <w:r>
        <w:rPr>
          <w:rStyle w:val="11"/>
          <w:rFonts w:hint="eastAsia" w:ascii="仿宋" w:hAnsi="仿宋" w:eastAsia="仿宋" w:cs="仿宋"/>
          <w:color w:val="auto"/>
          <w:sz w:val="28"/>
          <w:szCs w:val="28"/>
        </w:rPr>
        <w:fldChar w:fldCharType="end"/>
      </w:r>
      <w:r>
        <w:rPr>
          <w:rFonts w:hint="eastAsia" w:ascii="仿宋" w:hAnsi="仿宋" w:eastAsia="仿宋" w:cs="仿宋"/>
          <w:sz w:val="28"/>
          <w:szCs w:val="28"/>
        </w:rPr>
        <w:t>》《中华人民共和国工业产品生产许可证管理条例实施办法》《广东省食品相关产品生产加工监督管理办法》《食品安全国家标准食品接触材料及制品生产通用卫生规范》（</w:t>
      </w:r>
      <w:r>
        <w:rPr>
          <w:rFonts w:ascii="仿宋" w:hAnsi="仿宋" w:eastAsia="仿宋" w:cs="仿宋"/>
          <w:sz w:val="28"/>
          <w:szCs w:val="28"/>
        </w:rPr>
        <w:t>GB31603-2015</w:t>
      </w:r>
      <w:r>
        <w:rPr>
          <w:rFonts w:hint="eastAsia" w:ascii="仿宋" w:hAnsi="仿宋" w:eastAsia="仿宋" w:cs="仿宋"/>
          <w:sz w:val="28"/>
          <w:szCs w:val="28"/>
        </w:rPr>
        <w:t>）等相关要求，针对食品相关产品生产许可企业的生产现状以及食品相关产品的质量隐患问题，草拟《食品相关产品生产许可技术性检查表》（以下简称《检查表》）并提交甲方审定。</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检查组人员组成</w:t>
      </w:r>
    </w:p>
    <w:p>
      <w:pPr>
        <w:pStyle w:val="2"/>
        <w:spacing w:line="480" w:lineRule="exact"/>
        <w:ind w:firstLine="560"/>
        <w:rPr>
          <w:rFonts w:ascii="仿宋" w:hAnsi="仿宋" w:eastAsia="仿宋" w:cs="仿宋"/>
          <w:sz w:val="28"/>
          <w:szCs w:val="28"/>
          <w:lang w:bidi="ar"/>
        </w:rPr>
      </w:pPr>
      <w:r>
        <w:rPr>
          <w:rFonts w:hint="eastAsia" w:ascii="仿宋" w:hAnsi="仿宋" w:eastAsia="仿宋" w:cs="仿宋"/>
          <w:sz w:val="28"/>
          <w:szCs w:val="28"/>
          <w:lang w:bidi="ar"/>
        </w:rPr>
        <w:t>每个检查组由</w:t>
      </w:r>
      <w:r>
        <w:rPr>
          <w:rFonts w:ascii="仿宋" w:hAnsi="仿宋" w:eastAsia="仿宋" w:cs="仿宋"/>
          <w:sz w:val="28"/>
          <w:szCs w:val="28"/>
          <w:lang w:bidi="ar"/>
        </w:rPr>
        <w:t>2</w:t>
      </w:r>
      <w:r>
        <w:rPr>
          <w:rFonts w:hint="eastAsia" w:ascii="仿宋" w:hAnsi="仿宋" w:eastAsia="仿宋" w:cs="仿宋"/>
          <w:sz w:val="28"/>
          <w:szCs w:val="28"/>
          <w:lang w:bidi="ar"/>
        </w:rPr>
        <w:t>-3名乙方委派的专业技术人员组成。开展检查时，企业所在地市（区）市场监督管理局须选派至少</w:t>
      </w:r>
      <w:r>
        <w:rPr>
          <w:rFonts w:ascii="仿宋" w:hAnsi="仿宋" w:eastAsia="仿宋" w:cs="仿宋"/>
          <w:sz w:val="28"/>
          <w:szCs w:val="28"/>
          <w:lang w:bidi="ar"/>
        </w:rPr>
        <w:t>1</w:t>
      </w:r>
      <w:r>
        <w:rPr>
          <w:rFonts w:hint="eastAsia" w:ascii="仿宋" w:hAnsi="仿宋" w:eastAsia="仿宋" w:cs="仿宋"/>
          <w:sz w:val="28"/>
          <w:szCs w:val="28"/>
          <w:lang w:bidi="ar"/>
        </w:rPr>
        <w:t>名监管人员配合参与检查</w:t>
      </w:r>
      <w:r>
        <w:rPr>
          <w:rFonts w:ascii="仿宋" w:hAnsi="仿宋" w:eastAsia="仿宋" w:cs="仿宋"/>
          <w:sz w:val="28"/>
          <w:szCs w:val="28"/>
          <w:lang w:bidi="ar"/>
        </w:rPr>
        <w:t>,</w:t>
      </w:r>
      <w:r>
        <w:rPr>
          <w:rFonts w:hint="eastAsia" w:ascii="仿宋" w:hAnsi="仿宋" w:eastAsia="仿宋" w:cs="仿宋"/>
          <w:sz w:val="28"/>
          <w:szCs w:val="28"/>
          <w:lang w:bidi="ar"/>
        </w:rPr>
        <w:t>也可安排监管人员跟班学习。</w:t>
      </w:r>
    </w:p>
    <w:p>
      <w:pPr>
        <w:pStyle w:val="2"/>
        <w:numPr>
          <w:ilvl w:val="0"/>
          <w:numId w:val="2"/>
        </w:numPr>
        <w:spacing w:line="480" w:lineRule="exact"/>
        <w:ind w:firstLine="560" w:firstLineChars="0"/>
        <w:rPr>
          <w:rFonts w:ascii="仿宋" w:hAnsi="仿宋" w:eastAsia="仿宋" w:cs="仿宋"/>
          <w:sz w:val="28"/>
          <w:szCs w:val="28"/>
          <w:lang w:bidi="ar"/>
        </w:rPr>
      </w:pPr>
      <w:r>
        <w:rPr>
          <w:rFonts w:hint="eastAsia" w:ascii="仿宋" w:hAnsi="仿宋" w:eastAsia="仿宋" w:cs="仿宋"/>
          <w:sz w:val="28"/>
          <w:szCs w:val="28"/>
          <w:lang w:bidi="ar"/>
        </w:rPr>
        <w:t>检查工作要求</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规范检查程序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（１）检查组应当主动向被检查单位公开身份、检查内容、评判标准和检查结论。检查按照首次会议、现场沟通、现场审核、回顾需要的记录、检查回复、末次会议等程序进行。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２）检查组应当如实填写《检查表》和《食品相关产品生产许可技术性检查问题清单》（以下简称《问题清单》），并对企业正门、生产车间入口、主要生产设备、检验设备、主要原辅材料、生产产品等重点部位、重点环节的检查情况进行影像记录。</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３）检查组应当就检查情况与被检查单位参加人员交换意见。《问题清单》由检查人员和被检查单位法人代表或其授权的人员签字并盖章。被检查单位对检查结果有异议的，可以签署异议。被检查单位拒绝在相关文书、资料上签字或盖章的，检查人员应当注明，并可以邀请有关人员作为见证人签字、盖章，或者录音、录像等方式进行记录。被检查单位拒绝接受检查的，检查组应当填写《食品相关产品技术性检查企业拒绝现场检查认定表》并提交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（４）因企业倒闭、注销、停产等原因导致无法开展现场检查的，检查人员应当填写《食品相关产品生产企业未开展技术性检查情况表》，列明未开展现场检查的原因，并由检查人员、监管人员共同签字确认。</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严格问题处置</w:t>
      </w:r>
    </w:p>
    <w:p>
      <w:p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检查组在检查结束后应向企业所地市场监管部门移交《检查表》和《问题清单》，如发现企业存在违法问题时，应制作《食品相关产品技术性监督检查涉嫌违法线索移送书》，及时告知企业所地市场监管部门。对检查过程中发现的问题，各市（区）局应及时督促企业整改，涉及违法违规行为的，要依法严肃处理，并于</w:t>
      </w:r>
      <w:r>
        <w:rPr>
          <w:rFonts w:hint="eastAsia" w:ascii="仿宋" w:hAnsi="仿宋" w:eastAsia="仿宋" w:cs="仿宋"/>
          <w:color w:val="000000" w:themeColor="text1"/>
          <w:sz w:val="28"/>
          <w:szCs w:val="28"/>
          <w:lang w:bidi="ar"/>
          <w14:textFill>
            <w14:solidFill>
              <w14:schemeClr w14:val="tx1"/>
            </w14:solidFill>
          </w14:textFill>
        </w:rPr>
        <w:t>技术监督检查结束后</w:t>
      </w:r>
      <w:r>
        <w:rPr>
          <w:rFonts w:ascii="仿宋" w:hAnsi="仿宋" w:eastAsia="仿宋" w:cs="仿宋"/>
          <w:color w:val="000000" w:themeColor="text1"/>
          <w:sz w:val="28"/>
          <w:szCs w:val="28"/>
          <w:lang w:bidi="ar"/>
          <w14:textFill>
            <w14:solidFill>
              <w14:schemeClr w14:val="tx1"/>
            </w14:solidFill>
          </w14:textFill>
        </w:rPr>
        <w:t>10个工作日内</w:t>
      </w:r>
      <w:r>
        <w:rPr>
          <w:rFonts w:hint="eastAsia" w:ascii="仿宋" w:hAnsi="仿宋" w:eastAsia="仿宋" w:cs="仿宋"/>
          <w:sz w:val="28"/>
          <w:szCs w:val="28"/>
          <w:lang w:bidi="ar"/>
        </w:rPr>
        <w:t>填写《监督检查处理结果汇总表》报送甲方。</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lang w:bidi="ar"/>
        </w:rPr>
        <w:t>严肃工作纪律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检查组应廉洁自律，主动接受企业所地市场监管部门和企业的监督。不得索取或者收受企业红包礼金和礼物，不得借检查之机对被检查单位进行索拿卡要，不得由被检查单位承担食宿、交通等费用。</w:t>
      </w:r>
    </w:p>
    <w:p>
      <w:pPr>
        <w:numPr>
          <w:ilvl w:val="0"/>
          <w:numId w:val="3"/>
        </w:numPr>
        <w:spacing w:line="480" w:lineRule="exact"/>
        <w:ind w:firstLine="562" w:firstLineChars="200"/>
        <w:rPr>
          <w:rFonts w:ascii="仿宋" w:hAnsi="仿宋" w:eastAsia="仿宋" w:cs="仿宋"/>
          <w:bCs/>
          <w:sz w:val="28"/>
          <w:szCs w:val="28"/>
          <w:lang w:bidi="ar"/>
        </w:rPr>
      </w:pPr>
      <w:r>
        <w:rPr>
          <w:rFonts w:hint="eastAsia" w:ascii="仿宋" w:hAnsi="仿宋" w:eastAsia="仿宋" w:cs="仿宋"/>
          <w:b/>
          <w:bCs/>
          <w:sz w:val="28"/>
          <w:szCs w:val="28"/>
          <w:lang w:bidi="ar"/>
        </w:rPr>
        <w:t>及时报送总结</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乙方应在检查完成之日起10日内及时向甲方书面报送检查情况和总结，对检查过程中发现的问题进行评估、分析并提出建议。</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项目费用及支付方式</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乙方向甲方提供技术服务可获得的项目服务费用总价：预算人民币柒万元整（￥70,000元）</w:t>
      </w:r>
      <w:r>
        <w:rPr>
          <w:rFonts w:hint="eastAsia" w:ascii="仿宋" w:hAnsi="仿宋" w:eastAsia="仿宋" w:cs="仿宋"/>
          <w:sz w:val="28"/>
          <w:szCs w:val="28"/>
          <w:lang w:bidi="ar"/>
        </w:rPr>
        <w:t>.项目费用总价含组织专家检查费、交通差旅费、编制检查内容、评估分析费等在项目实施过程中所产生的所有费用以及相关税费</w:t>
      </w:r>
      <w:r>
        <w:rPr>
          <w:rFonts w:hint="eastAsia" w:ascii="仿宋" w:hAnsi="仿宋" w:eastAsia="仿宋" w:cs="仿宋"/>
          <w:sz w:val="28"/>
          <w:szCs w:val="28"/>
        </w:rPr>
        <w:t>。</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付款时间、方式：分二期支付。</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第一期：项目进度达到50%以上的（开展技术性监督检查达到10家次以上），乙方报请甲方审核确认后，甲方自收到乙方开具等额有效的发票之日起30个工作日内，首期向乙方支付项目服务总费用的 50 %，即人民币三万伍仟元整（￥35,000 元）；</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第二期：当项目结束且经甲方验收</w:t>
      </w:r>
      <w:r>
        <w:rPr>
          <w:rFonts w:hint="eastAsia" w:ascii="仿宋" w:hAnsi="仿宋" w:eastAsia="仿宋" w:cs="仿宋"/>
          <w:sz w:val="28"/>
          <w:szCs w:val="28"/>
          <w:lang w:bidi="ar"/>
        </w:rPr>
        <w:t>合格后，</w:t>
      </w:r>
      <w:r>
        <w:rPr>
          <w:rFonts w:hint="eastAsia" w:ascii="仿宋" w:hAnsi="仿宋" w:eastAsia="仿宋" w:cs="仿宋"/>
          <w:sz w:val="28"/>
          <w:szCs w:val="28"/>
        </w:rPr>
        <w:t>甲方再次凭收到乙方开具等额有效的发票之日起30个工作日内支付预计剩余项目费用给乙方，即三万伍仟元整（￥35,000 元）。</w:t>
      </w:r>
    </w:p>
    <w:p>
      <w:pPr>
        <w:pStyle w:val="2"/>
        <w:spacing w:line="480" w:lineRule="exact"/>
        <w:ind w:firstLineChars="0"/>
        <w:rPr>
          <w:rFonts w:ascii="仿宋" w:hAnsi="仿宋" w:eastAsia="仿宋" w:cs="仿宋"/>
          <w:sz w:val="28"/>
          <w:szCs w:val="28"/>
          <w:lang w:bidi="ar"/>
        </w:rPr>
      </w:pPr>
      <w:r>
        <w:rPr>
          <w:rFonts w:hint="eastAsia" w:ascii="仿宋" w:hAnsi="仿宋" w:eastAsia="仿宋" w:cs="仿宋"/>
          <w:sz w:val="28"/>
          <w:szCs w:val="28"/>
          <w:lang w:bidi="ar"/>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（三）乙方账户信息如下：</w:t>
      </w:r>
    </w:p>
    <w:p>
      <w:pPr>
        <w:pStyle w:val="15"/>
        <w:spacing w:line="480" w:lineRule="exact"/>
        <w:ind w:left="420" w:leftChars="200" w:firstLine="140" w:firstLineChars="50"/>
        <w:rPr>
          <w:rFonts w:ascii="仿宋" w:hAnsi="仿宋" w:eastAsia="仿宋" w:cs="仿宋"/>
          <w:sz w:val="28"/>
          <w:szCs w:val="28"/>
          <w:u w:val="single"/>
        </w:rPr>
      </w:pPr>
      <w:r>
        <w:rPr>
          <w:rFonts w:hint="eastAsia" w:ascii="仿宋" w:hAnsi="仿宋" w:eastAsia="仿宋" w:cs="仿宋"/>
          <w:sz w:val="28"/>
          <w:szCs w:val="28"/>
        </w:rPr>
        <w:t>开户名：</w:t>
      </w:r>
    </w:p>
    <w:p>
      <w:pPr>
        <w:pStyle w:val="15"/>
        <w:spacing w:line="480" w:lineRule="exact"/>
        <w:ind w:left="283" w:leftChars="135" w:firstLine="280" w:firstLineChars="100"/>
        <w:rPr>
          <w:rFonts w:ascii="仿宋" w:hAnsi="仿宋" w:eastAsia="仿宋" w:cs="仿宋"/>
          <w:sz w:val="28"/>
          <w:szCs w:val="28"/>
          <w:u w:val="single"/>
        </w:rPr>
      </w:pPr>
      <w:r>
        <w:rPr>
          <w:rFonts w:hint="eastAsia" w:ascii="仿宋" w:hAnsi="仿宋" w:eastAsia="仿宋" w:cs="仿宋"/>
          <w:sz w:val="28"/>
          <w:szCs w:val="28"/>
        </w:rPr>
        <w:t>开户行：</w:t>
      </w:r>
    </w:p>
    <w:p>
      <w:pPr>
        <w:pStyle w:val="15"/>
        <w:spacing w:line="480" w:lineRule="exact"/>
        <w:ind w:left="568" w:firstLine="0" w:firstLineChars="0"/>
        <w:rPr>
          <w:rFonts w:ascii="仿宋" w:hAnsi="仿宋" w:eastAsia="仿宋" w:cs="仿宋"/>
          <w:sz w:val="28"/>
          <w:szCs w:val="28"/>
        </w:rPr>
      </w:pPr>
      <w:r>
        <w:rPr>
          <w:rFonts w:hint="eastAsia" w:ascii="仿宋" w:hAnsi="仿宋" w:eastAsia="仿宋" w:cs="仿宋"/>
          <w:sz w:val="28"/>
          <w:szCs w:val="28"/>
        </w:rPr>
        <w:t>账  号：</w:t>
      </w:r>
    </w:p>
    <w:p>
      <w:pPr>
        <w:numPr>
          <w:ilvl w:val="0"/>
          <w:numId w:val="6"/>
        </w:numPr>
        <w:spacing w:line="480" w:lineRule="exact"/>
        <w:ind w:left="6" w:firstLine="560" w:firstLineChars="200"/>
        <w:rPr>
          <w:rFonts w:ascii="仿宋" w:hAnsi="仿宋" w:eastAsia="仿宋" w:cs="仿宋"/>
          <w:sz w:val="28"/>
          <w:szCs w:val="28"/>
        </w:rPr>
      </w:pPr>
      <w:r>
        <w:rPr>
          <w:rFonts w:hint="eastAsia" w:ascii="仿宋" w:hAnsi="仿宋" w:eastAsia="仿宋" w:cs="仿宋"/>
          <w:sz w:val="28"/>
          <w:szCs w:val="28"/>
        </w:rPr>
        <w:t>（四）甲方开票信息如下：</w:t>
      </w:r>
    </w:p>
    <w:p>
      <w:pPr>
        <w:spacing w:line="480" w:lineRule="exact"/>
        <w:ind w:left="560" w:firstLine="700" w:firstLineChars="250"/>
        <w:rPr>
          <w:rFonts w:ascii="仿宋" w:hAnsi="仿宋" w:eastAsia="仿宋" w:cs="仿宋"/>
          <w:sz w:val="28"/>
          <w:szCs w:val="28"/>
        </w:rPr>
      </w:pPr>
      <w:r>
        <w:rPr>
          <w:rFonts w:hint="eastAsia" w:ascii="仿宋" w:hAnsi="仿宋" w:eastAsia="仿宋" w:cs="仿宋"/>
          <w:sz w:val="28"/>
          <w:szCs w:val="28"/>
        </w:rPr>
        <w:t>单位名称：江门市市场监督管理局</w:t>
      </w:r>
    </w:p>
    <w:p>
      <w:pPr>
        <w:spacing w:line="480" w:lineRule="exact"/>
        <w:ind w:left="560" w:firstLine="700" w:firstLineChars="250"/>
        <w:rPr>
          <w:rFonts w:ascii="仿宋" w:hAnsi="仿宋" w:eastAsia="仿宋" w:cs="仿宋"/>
          <w:sz w:val="28"/>
          <w:szCs w:val="28"/>
        </w:rPr>
      </w:pPr>
      <w:r>
        <w:rPr>
          <w:rFonts w:hint="eastAsia" w:ascii="仿宋" w:hAnsi="仿宋" w:eastAsia="仿宋" w:cs="仿宋"/>
          <w:sz w:val="28"/>
          <w:szCs w:val="28"/>
        </w:rPr>
        <w:t>统一信用代码：11440700MB2C90725T</w:t>
      </w:r>
    </w:p>
    <w:p>
      <w:pPr>
        <w:numPr>
          <w:ilvl w:val="0"/>
          <w:numId w:val="1"/>
        </w:numPr>
        <w:spacing w:line="480" w:lineRule="exact"/>
        <w:ind w:firstLine="0"/>
        <w:rPr>
          <w:rFonts w:ascii="仿宋" w:hAnsi="仿宋" w:eastAsia="仿宋" w:cs="仿宋"/>
          <w:sz w:val="28"/>
          <w:szCs w:val="28"/>
        </w:rPr>
      </w:pPr>
      <w:r>
        <w:rPr>
          <w:rFonts w:hint="eastAsia" w:ascii="仿宋" w:hAnsi="仿宋" w:eastAsia="仿宋" w:cs="仿宋"/>
          <w:b/>
          <w:bCs/>
          <w:sz w:val="28"/>
          <w:szCs w:val="28"/>
        </w:rPr>
        <w:t>合同期限</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合同期限为4个月，自本合同签订生效之日起开始计算。</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验收方式</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20 </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实施方案</w:t>
      </w:r>
      <w:r>
        <w:rPr>
          <w:rFonts w:hint="eastAsia" w:ascii="仿宋" w:hAnsi="仿宋" w:eastAsia="仿宋" w:cs="仿宋"/>
          <w:sz w:val="28"/>
          <w:szCs w:val="28"/>
        </w:rPr>
        <w:t>及甲方要求提交项目相关的文件、资料等成果性资料给甲方进行验收，甲方在收到乙方提交的上述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7"/>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7"/>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若经甲方再次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甲方的权利和义务</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根据甲、乙双方确定的《江门市２０２3年食品相关产品生产许可证后技术性监督检查工作方案》，甲方有权督促乙方的实施情况，了解工作进度及开展情况，并对乙方在实施过程中遇到的问题进行协商和调整。</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甲方按本合同约定向乙方支付项目服务费用。</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乙方的权利和义务</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根据甲方要求做出《食品相关产品生产许可技术性检查表》，在工作过程中发现问题向甲方及时反馈、协商作出调整，并完成工作任务。</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乙方负责检查的具体实施、材料汇总和工作总结等。</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项目完成后，乙方应在2023年9月30日前提交有关验收材料供甲方对工作结果进行验收</w:t>
      </w:r>
      <w:r>
        <w:rPr>
          <w:rFonts w:hint="eastAsia" w:ascii="仿宋" w:hAnsi="仿宋" w:eastAsia="仿宋" w:cs="仿宋"/>
          <w:bCs/>
          <w:sz w:val="28"/>
          <w:szCs w:val="28"/>
        </w:rPr>
        <w:t>。</w:t>
      </w:r>
    </w:p>
    <w:p>
      <w:pPr>
        <w:numPr>
          <w:ilvl w:val="0"/>
          <w:numId w:val="9"/>
        </w:numPr>
        <w:spacing w:line="480" w:lineRule="exact"/>
        <w:ind w:firstLine="560" w:firstLineChars="200"/>
        <w:rPr>
          <w:rFonts w:ascii="仿宋" w:hAnsi="仿宋" w:eastAsia="仿宋" w:cs="仿宋"/>
          <w:sz w:val="28"/>
          <w:szCs w:val="28"/>
        </w:rPr>
      </w:pPr>
      <w:r>
        <w:rPr>
          <w:rFonts w:eastAsia="仿宋"/>
          <w:sz w:val="28"/>
          <w:szCs w:val="28"/>
        </w:rPr>
        <w:t>乙方按照《采购公告》以及本合同要求完成的工作所产生的</w:t>
      </w:r>
      <w:r>
        <w:rPr>
          <w:rFonts w:hint="eastAsia" w:eastAsia="仿宋"/>
          <w:sz w:val="28"/>
          <w:szCs w:val="28"/>
        </w:rPr>
        <w:t>检查</w:t>
      </w:r>
      <w:r>
        <w:rPr>
          <w:rFonts w:eastAsia="仿宋"/>
          <w:sz w:val="28"/>
          <w:szCs w:val="28"/>
        </w:rPr>
        <w:t>数据、工作报告</w:t>
      </w:r>
      <w:r>
        <w:rPr>
          <w:rFonts w:hint="eastAsia" w:eastAsia="仿宋"/>
          <w:sz w:val="28"/>
          <w:szCs w:val="28"/>
        </w:rPr>
        <w:t>等</w:t>
      </w:r>
      <w:r>
        <w:rPr>
          <w:rFonts w:eastAsia="仿宋"/>
          <w:sz w:val="28"/>
          <w:szCs w:val="28"/>
        </w:rPr>
        <w:t>资料所有权归于甲方所有，乙方应当按照甲方的要求将前述相应的资料作为成果性文件的原始数据提供给甲方</w:t>
      </w:r>
      <w:r>
        <w:rPr>
          <w:rFonts w:hint="eastAsia" w:eastAsia="仿宋"/>
          <w:sz w:val="28"/>
          <w:szCs w:val="28"/>
        </w:rPr>
        <w:t>。</w:t>
      </w:r>
    </w:p>
    <w:p>
      <w:pPr>
        <w:numPr>
          <w:ilvl w:val="0"/>
          <w:numId w:val="9"/>
        </w:numPr>
        <w:spacing w:line="480" w:lineRule="exact"/>
        <w:ind w:firstLine="560" w:firstLineChars="200"/>
        <w:rPr>
          <w:rFonts w:ascii="仿宋" w:hAnsi="仿宋" w:eastAsia="仿宋" w:cs="仿宋"/>
          <w:kern w:val="2"/>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9"/>
        </w:numPr>
        <w:spacing w:line="480" w:lineRule="exact"/>
        <w:ind w:firstLine="560" w:firstLineChars="200"/>
        <w:rPr>
          <w:rFonts w:ascii="仿宋" w:hAnsi="仿宋" w:eastAsia="仿宋" w:cs="仿宋"/>
          <w:sz w:val="28"/>
          <w:szCs w:val="28"/>
        </w:rPr>
      </w:pPr>
      <w:r>
        <w:rPr>
          <w:rFonts w:hint="eastAsia" w:ascii="仿宋" w:hAnsi="仿宋" w:eastAsia="仿宋" w:cs="仿宋"/>
          <w:kern w:val="0"/>
          <w:sz w:val="28"/>
          <w:szCs w:val="28"/>
        </w:rPr>
        <w:t>乙方承诺严格遵守国家关于保密（包括私隐）方面的所有法律法规，对涉及单位的数据及资料保密。所有工作时间内，可能或必须知道的甲方、被检查单位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不可抗力</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1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公告、本合同约定及《江门市２０２3年食品相关产品生产许可证后技术性监督检查工作方案》的要求提交项目成果性文件或逾期完成项目工作的，甲方有权要求乙方按本项目服务费用总价的日千分之一向甲方支付违约金直到乙方提交之日止；乙方逾期15日以上的，甲方有权单方解除合同（解除合同通知自到达乙方之日起即生效）、另行委托第三方提供服务或协助乙方，因此产生的费用由乙方全部承担；甲方有权扣减掉认为乙方提供符合要求的服务费用后要求乙方将已收取款项全额退回给甲方（乙方已经开具发票所产生的税费损失由乙方自行承担）。</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不能提供服务或提供的服务质量不符合采购公告及《江门市2023年食品相关产品生产许可证后技术性监督检查工作方案》要求的，甲方有权拒收，并且乙方须向甲方支付本项目服务费用总价20％的违约金；另甲方有权单方解除合同（解除合同通知自到达乙方之日起即生效）、另行委托第三方提供服务或协助乙方，因此产生的费用由乙方全部承担；甲方有权扣减掉认为乙方提供符合要求的服务费用后要求乙方将已收取款项全额退回给甲方（乙方已经开具发票所产生的税费损失由乙方自行承担）。如因乙方的违约责任造成甲方声誉受损或被第三方追索责任的，由此引起的经济损失包括但不限于律师费、诉讼费、调查费、差旅费、赔偿款等均由乙方承担。</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乙方有下列行为之一的，视为乙方违约，应当按本条第（二)点乙方的违约责任第2小点的约定承担违约责任，并依法承担相应的法律责任：</w:t>
      </w:r>
    </w:p>
    <w:p>
      <w:pPr>
        <w:numPr>
          <w:ilvl w:val="255"/>
          <w:numId w:val="0"/>
        </w:numPr>
        <w:spacing w:line="480" w:lineRule="exact"/>
        <w:ind w:left="420" w:leftChars="200"/>
        <w:rPr>
          <w:rFonts w:ascii="仿宋" w:hAnsi="仿宋" w:eastAsia="仿宋" w:cs="仿宋"/>
          <w:sz w:val="28"/>
          <w:szCs w:val="28"/>
        </w:rPr>
      </w:pPr>
      <w:r>
        <w:rPr>
          <w:rFonts w:hint="eastAsia" w:ascii="仿宋" w:hAnsi="仿宋" w:eastAsia="仿宋" w:cs="仿宋"/>
          <w:sz w:val="28"/>
          <w:szCs w:val="28"/>
        </w:rPr>
        <w:t>（1）伪造检查数据的；</w:t>
      </w:r>
      <w:r>
        <w:rPr>
          <w:rFonts w:hint="eastAsia" w:ascii="仿宋" w:hAnsi="仿宋" w:eastAsia="仿宋" w:cs="仿宋"/>
          <w:sz w:val="28"/>
          <w:szCs w:val="28"/>
        </w:rPr>
        <w:br w:type="textWrapping"/>
      </w:r>
      <w:r>
        <w:rPr>
          <w:rFonts w:hint="eastAsia" w:ascii="仿宋" w:hAnsi="仿宋" w:eastAsia="仿宋" w:cs="仿宋"/>
          <w:sz w:val="28"/>
          <w:szCs w:val="28"/>
        </w:rPr>
        <w:t>（2）未按《江门市２０２3年食品相关产品生产许可证后技术性监督检查工作方案》及本合同约定</w:t>
      </w:r>
      <w:r>
        <w:rPr>
          <w:rFonts w:hint="eastAsia" w:ascii="仿宋" w:hAnsi="仿宋" w:eastAsia="仿宋" w:cs="仿宋"/>
          <w:sz w:val="28"/>
          <w:szCs w:val="28"/>
          <w:lang w:bidi="ar"/>
        </w:rPr>
        <w:t>的</w:t>
      </w:r>
      <w:r>
        <w:rPr>
          <w:rFonts w:hint="eastAsia" w:ascii="仿宋" w:hAnsi="仿宋" w:eastAsia="仿宋" w:cs="仿宋"/>
          <w:sz w:val="28"/>
          <w:szCs w:val="28"/>
        </w:rPr>
        <w:t>要求开展检查的；</w:t>
      </w:r>
      <w:r>
        <w:rPr>
          <w:rFonts w:hint="eastAsia" w:ascii="仿宋" w:hAnsi="仿宋" w:eastAsia="仿宋" w:cs="仿宋"/>
          <w:sz w:val="28"/>
          <w:szCs w:val="28"/>
        </w:rPr>
        <w:br w:type="textWrapping"/>
      </w:r>
      <w:r>
        <w:rPr>
          <w:rFonts w:hint="eastAsia" w:ascii="仿宋" w:hAnsi="仿宋" w:eastAsia="仿宋" w:cs="仿宋"/>
          <w:sz w:val="28"/>
          <w:szCs w:val="28"/>
        </w:rPr>
        <w:t>（3）乙方出具错误的检查结论造成被检查单位和甲方损失的；</w:t>
      </w:r>
      <w:r>
        <w:rPr>
          <w:rFonts w:hint="eastAsia" w:ascii="仿宋" w:hAnsi="仿宋" w:eastAsia="仿宋" w:cs="仿宋"/>
          <w:sz w:val="28"/>
          <w:szCs w:val="28"/>
        </w:rPr>
        <w:br w:type="textWrapping"/>
      </w:r>
      <w:r>
        <w:rPr>
          <w:rFonts w:hint="eastAsia" w:ascii="仿宋" w:hAnsi="仿宋" w:eastAsia="仿宋" w:cs="仿宋"/>
          <w:sz w:val="28"/>
          <w:szCs w:val="28"/>
        </w:rPr>
        <w:t>（4）擅自将检查结果及有关材料对外泄露的；</w:t>
      </w:r>
      <w:r>
        <w:rPr>
          <w:rFonts w:hint="eastAsia" w:ascii="仿宋" w:hAnsi="仿宋" w:eastAsia="仿宋" w:cs="仿宋"/>
          <w:sz w:val="28"/>
          <w:szCs w:val="28"/>
        </w:rPr>
        <w:br w:type="textWrapping"/>
      </w:r>
      <w:r>
        <w:rPr>
          <w:rFonts w:hint="eastAsia" w:ascii="仿宋" w:hAnsi="仿宋" w:eastAsia="仿宋" w:cs="仿宋"/>
          <w:sz w:val="28"/>
          <w:szCs w:val="28"/>
        </w:rPr>
        <w:t>（5）利用检查结果及有关材料参与有偿活动的。</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双方确定，出现下列情形，致使本合同的履行成为不必要或不能的，可以解除本合同：</w:t>
      </w:r>
    </w:p>
    <w:p>
      <w:pPr>
        <w:numPr>
          <w:ilvl w:val="0"/>
          <w:numId w:val="1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发生不可抗力。</w:t>
      </w:r>
    </w:p>
    <w:p>
      <w:pPr>
        <w:numPr>
          <w:ilvl w:val="0"/>
          <w:numId w:val="1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numPr>
          <w:ilvl w:val="0"/>
          <w:numId w:val="1"/>
        </w:numPr>
        <w:spacing w:line="480" w:lineRule="exact"/>
        <w:ind w:firstLine="0"/>
        <w:rPr>
          <w:rFonts w:ascii="仿宋" w:hAnsi="仿宋" w:eastAsia="仿宋" w:cs="仿宋"/>
          <w:b/>
          <w:bCs/>
          <w:sz w:val="28"/>
          <w:szCs w:val="28"/>
        </w:rPr>
      </w:pP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pStyle w:val="2"/>
        <w:numPr>
          <w:ilvl w:val="0"/>
          <w:numId w:val="1"/>
        </w:numPr>
        <w:spacing w:line="480" w:lineRule="exact"/>
        <w:ind w:firstLine="0" w:firstLineChars="0"/>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4"/>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widowControl/>
        <w:numPr>
          <w:ilvl w:val="0"/>
          <w:numId w:val="14"/>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widowControl/>
        <w:numPr>
          <w:ilvl w:val="0"/>
          <w:numId w:val="14"/>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本合同自甲、乙双方签字盖章后生效，本合同一式伍份，甲方执叁份、乙方执贰份，具有同等法律效力。</w:t>
      </w:r>
    </w:p>
    <w:p>
      <w:pPr>
        <w:numPr>
          <w:ilvl w:val="0"/>
          <w:numId w:val="14"/>
        </w:num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以下为本合同的附件，与本合同具有同等效力：</w:t>
      </w:r>
    </w:p>
    <w:p>
      <w:pPr>
        <w:numPr>
          <w:ilvl w:val="0"/>
          <w:numId w:val="15"/>
        </w:numPr>
        <w:tabs>
          <w:tab w:val="left" w:pos="720"/>
        </w:tabs>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《江门市市场监督管理局2023年食品相关产品生产许可证后技术性监督检查服务项目采购公告》；</w:t>
      </w:r>
    </w:p>
    <w:p>
      <w:pPr>
        <w:numPr>
          <w:ilvl w:val="0"/>
          <w:numId w:val="15"/>
        </w:numPr>
        <w:tabs>
          <w:tab w:val="left" w:pos="720"/>
        </w:tabs>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《江门市2023年食品相关产品生产许可证后技术性监督检查工作方案》；</w:t>
      </w:r>
    </w:p>
    <w:p>
      <w:pPr>
        <w:numPr>
          <w:ilvl w:val="0"/>
          <w:numId w:val="15"/>
        </w:numPr>
        <w:tabs>
          <w:tab w:val="left" w:pos="720"/>
        </w:tabs>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江门市市场监督管理局相关项目采购结果公告；</w:t>
      </w:r>
    </w:p>
    <w:p>
      <w:pPr>
        <w:numPr>
          <w:ilvl w:val="0"/>
          <w:numId w:val="15"/>
        </w:numPr>
        <w:tabs>
          <w:tab w:val="left" w:pos="720"/>
        </w:tabs>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补充协议等资料。</w:t>
      </w:r>
    </w:p>
    <w:p>
      <w:pPr>
        <w:spacing w:before="156" w:beforeLines="50" w:line="4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400" w:lineRule="exact"/>
        <w:ind w:firstLine="0" w:firstLineChars="0"/>
        <w:rPr>
          <w:rFonts w:ascii="仿宋" w:hAnsi="仿宋" w:eastAsia="仿宋" w:cs="仿宋"/>
          <w:sz w:val="28"/>
          <w:szCs w:val="28"/>
        </w:rPr>
      </w:pPr>
    </w:p>
    <w:p>
      <w:pPr>
        <w:pStyle w:val="2"/>
        <w:spacing w:line="400" w:lineRule="exact"/>
        <w:ind w:firstLine="560"/>
        <w:rPr>
          <w:rFonts w:ascii="仿宋" w:hAnsi="仿宋" w:eastAsia="仿宋" w:cs="仿宋"/>
          <w:sz w:val="28"/>
          <w:szCs w:val="28"/>
        </w:rPr>
      </w:pPr>
    </w:p>
    <w:p>
      <w:pPr>
        <w:spacing w:line="400" w:lineRule="exact"/>
        <w:ind w:firstLine="560" w:firstLineChars="200"/>
        <w:rPr>
          <w:rFonts w:hint="eastAsia" w:ascii="仿宋" w:hAnsi="仿宋" w:eastAsia="仿宋" w:cs="仿宋"/>
          <w:sz w:val="28"/>
          <w:szCs w:val="28"/>
        </w:rPr>
      </w:pPr>
    </w:p>
    <w:p>
      <w:pPr>
        <w:spacing w:line="400" w:lineRule="exact"/>
        <w:ind w:firstLine="560" w:firstLineChars="200"/>
        <w:rPr>
          <w:rFonts w:hint="eastAsia"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甲方：江门市市场监督管理局</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（盖章）</w:t>
      </w: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pStyle w:val="2"/>
      </w:pPr>
      <w:r>
        <w:rPr>
          <w:rFonts w:hint="eastAsia"/>
        </w:rPr>
        <w:t xml:space="preserve"> </w:t>
      </w:r>
    </w:p>
    <w:p>
      <w:pPr>
        <w:spacing w:line="400" w:lineRule="exact"/>
        <w:ind w:firstLine="1400" w:firstLineChars="500"/>
        <w:rPr>
          <w:rFonts w:ascii="仿宋" w:hAnsi="仿宋" w:eastAsia="仿宋" w:cs="仿宋"/>
          <w:sz w:val="28"/>
          <w:szCs w:val="28"/>
        </w:rPr>
      </w:pPr>
      <w:r>
        <w:rPr>
          <w:rFonts w:hint="eastAsia" w:ascii="仿宋" w:hAnsi="仿宋" w:eastAsia="仿宋" w:cs="仿宋"/>
          <w:sz w:val="28"/>
          <w:szCs w:val="28"/>
        </w:rPr>
        <w:t>年   月    日</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（盖章）</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00" w:lineRule="exact"/>
        <w:ind w:firstLine="1680" w:firstLineChars="600"/>
        <w:rPr>
          <w:rFonts w:ascii="仿宋" w:hAnsi="仿宋" w:eastAsia="仿宋" w:cs="仿宋"/>
          <w:sz w:val="28"/>
          <w:szCs w:val="28"/>
        </w:rPr>
      </w:pPr>
    </w:p>
    <w:p>
      <w:pPr>
        <w:spacing w:line="400" w:lineRule="exact"/>
        <w:ind w:firstLine="1400" w:firstLineChars="500"/>
        <w:rPr>
          <w:rFonts w:ascii="仿宋" w:hAnsi="仿宋" w:eastAsia="仿宋" w:cs="仿宋"/>
          <w:sz w:val="28"/>
          <w:szCs w:val="28"/>
        </w:rPr>
      </w:pPr>
      <w:r>
        <w:rPr>
          <w:rFonts w:hint="eastAsia" w:ascii="仿宋" w:hAnsi="仿宋" w:eastAsia="仿宋" w:cs="仿宋"/>
          <w:sz w:val="28"/>
          <w:szCs w:val="28"/>
        </w:rPr>
        <w:t>年   月    日</w:t>
      </w:r>
    </w:p>
    <w:p>
      <w:pPr>
        <w:spacing w:line="400" w:lineRule="exact"/>
        <w:ind w:firstLine="1260" w:firstLineChars="6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A73D"/>
    <w:multiLevelType w:val="singleLevel"/>
    <w:tmpl w:val="88E1A73D"/>
    <w:lvl w:ilvl="0" w:tentative="0">
      <w:start w:val="1"/>
      <w:numFmt w:val="chineseCounting"/>
      <w:suff w:val="nothing"/>
      <w:lvlText w:val="（%1）"/>
      <w:lvlJc w:val="left"/>
      <w:pPr>
        <w:ind w:left="0" w:firstLine="420"/>
      </w:pPr>
      <w:rPr>
        <w:rFonts w:hint="eastAsia"/>
      </w:rPr>
    </w:lvl>
  </w:abstractNum>
  <w:abstractNum w:abstractNumId="1">
    <w:nsid w:val="A564A9DD"/>
    <w:multiLevelType w:val="singleLevel"/>
    <w:tmpl w:val="A564A9DD"/>
    <w:lvl w:ilvl="0" w:tentative="0">
      <w:start w:val="1"/>
      <w:numFmt w:val="chineseCounting"/>
      <w:suff w:val="nothing"/>
      <w:lvlText w:val="（%1）"/>
      <w:lvlJc w:val="left"/>
      <w:pPr>
        <w:ind w:left="0" w:firstLine="420"/>
      </w:pPr>
      <w:rPr>
        <w:rFonts w:hint="eastAsia"/>
      </w:rPr>
    </w:lvl>
  </w:abstractNum>
  <w:abstractNum w:abstractNumId="2">
    <w:nsid w:val="B0AA52D2"/>
    <w:multiLevelType w:val="singleLevel"/>
    <w:tmpl w:val="B0AA52D2"/>
    <w:lvl w:ilvl="0" w:tentative="0">
      <w:start w:val="1"/>
      <w:numFmt w:val="chineseCounting"/>
      <w:suff w:val="nothing"/>
      <w:lvlText w:val="（%1）"/>
      <w:lvlJc w:val="left"/>
      <w:pPr>
        <w:ind w:left="0" w:firstLine="420"/>
      </w:pPr>
      <w:rPr>
        <w:rFonts w:hint="eastAsia"/>
      </w:rPr>
    </w:lvl>
  </w:abstractNum>
  <w:abstractNum w:abstractNumId="3">
    <w:nsid w:val="BC8DDEE0"/>
    <w:multiLevelType w:val="singleLevel"/>
    <w:tmpl w:val="BC8DDEE0"/>
    <w:lvl w:ilvl="0" w:tentative="0">
      <w:start w:val="1"/>
      <w:numFmt w:val="decimal"/>
      <w:suff w:val="nothing"/>
      <w:lvlText w:val="%1．"/>
      <w:lvlJc w:val="left"/>
      <w:pPr>
        <w:ind w:left="0" w:firstLine="400"/>
      </w:pPr>
      <w:rPr>
        <w:rFonts w:hint="default"/>
      </w:rPr>
    </w:lvl>
  </w:abstractNum>
  <w:abstractNum w:abstractNumId="4">
    <w:nsid w:val="E1C60868"/>
    <w:multiLevelType w:val="singleLevel"/>
    <w:tmpl w:val="E1C60868"/>
    <w:lvl w:ilvl="0" w:tentative="0">
      <w:start w:val="1"/>
      <w:numFmt w:val="chineseCounting"/>
      <w:suff w:val="nothing"/>
      <w:lvlText w:val="（%1）"/>
      <w:lvlJc w:val="left"/>
      <w:pPr>
        <w:ind w:left="0" w:firstLine="420"/>
      </w:pPr>
      <w:rPr>
        <w:rFonts w:hint="eastAsia"/>
      </w:rPr>
    </w:lvl>
  </w:abstractNum>
  <w:abstractNum w:abstractNumId="5">
    <w:nsid w:val="FC7EF441"/>
    <w:multiLevelType w:val="singleLevel"/>
    <w:tmpl w:val="FC7EF441"/>
    <w:lvl w:ilvl="0" w:tentative="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tentative="0">
      <w:start w:val="1"/>
      <w:numFmt w:val="chineseCounting"/>
      <w:suff w:val="nothing"/>
      <w:lvlText w:val="（%1）"/>
      <w:lvlJc w:val="left"/>
      <w:pPr>
        <w:ind w:left="6" w:firstLine="420"/>
      </w:pPr>
      <w:rPr>
        <w:rFonts w:hint="eastAsia"/>
      </w:rPr>
    </w:lvl>
  </w:abstractNum>
  <w:abstractNum w:abstractNumId="7">
    <w:nsid w:val="0A62AD8C"/>
    <w:multiLevelType w:val="singleLevel"/>
    <w:tmpl w:val="0A62AD8C"/>
    <w:lvl w:ilvl="0" w:tentative="0">
      <w:start w:val="1"/>
      <w:numFmt w:val="decimal"/>
      <w:suff w:val="nothing"/>
      <w:lvlText w:val="%1．"/>
      <w:lvlJc w:val="left"/>
      <w:pPr>
        <w:ind w:left="0" w:firstLine="400"/>
      </w:pPr>
      <w:rPr>
        <w:rFonts w:hint="default"/>
      </w:rPr>
    </w:lvl>
  </w:abstractNum>
  <w:abstractNum w:abstractNumId="8">
    <w:nsid w:val="2035A895"/>
    <w:multiLevelType w:val="singleLevel"/>
    <w:tmpl w:val="2035A895"/>
    <w:lvl w:ilvl="0" w:tentative="0">
      <w:start w:val="1"/>
      <w:numFmt w:val="decimal"/>
      <w:suff w:val="nothing"/>
      <w:lvlText w:val="%1．"/>
      <w:lvlJc w:val="left"/>
      <w:pPr>
        <w:ind w:left="0" w:firstLine="400"/>
      </w:pPr>
      <w:rPr>
        <w:rFonts w:hint="default"/>
      </w:rPr>
    </w:lvl>
  </w:abstractNum>
  <w:abstractNum w:abstractNumId="9">
    <w:nsid w:val="27477D56"/>
    <w:multiLevelType w:val="singleLevel"/>
    <w:tmpl w:val="27477D56"/>
    <w:lvl w:ilvl="0" w:tentative="0">
      <w:start w:val="1"/>
      <w:numFmt w:val="decimal"/>
      <w:suff w:val="nothing"/>
      <w:lvlText w:val="%1．"/>
      <w:lvlJc w:val="left"/>
      <w:pPr>
        <w:ind w:left="0" w:firstLine="400"/>
      </w:pPr>
      <w:rPr>
        <w:rFonts w:hint="default"/>
      </w:rPr>
    </w:lvl>
  </w:abstractNum>
  <w:abstractNum w:abstractNumId="10">
    <w:nsid w:val="3696F12E"/>
    <w:multiLevelType w:val="singleLevel"/>
    <w:tmpl w:val="3696F12E"/>
    <w:lvl w:ilvl="0" w:tentative="0">
      <w:start w:val="1"/>
      <w:numFmt w:val="chineseCounting"/>
      <w:suff w:val="nothing"/>
      <w:lvlText w:val="（%1）"/>
      <w:lvlJc w:val="left"/>
      <w:pPr>
        <w:ind w:left="0" w:firstLine="420"/>
      </w:pPr>
      <w:rPr>
        <w:rFonts w:hint="eastAsia"/>
      </w:rPr>
    </w:lvl>
  </w:abstractNum>
  <w:abstractNum w:abstractNumId="11">
    <w:nsid w:val="43C56070"/>
    <w:multiLevelType w:val="singleLevel"/>
    <w:tmpl w:val="43C56070"/>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EDFEE62"/>
    <w:multiLevelType w:val="singleLevel"/>
    <w:tmpl w:val="6EDFEE62"/>
    <w:lvl w:ilvl="0" w:tentative="0">
      <w:start w:val="1"/>
      <w:numFmt w:val="chineseCounting"/>
      <w:suff w:val="nothing"/>
      <w:lvlText w:val="（%1）"/>
      <w:lvlJc w:val="left"/>
      <w:pPr>
        <w:ind w:left="0" w:firstLine="420"/>
      </w:pPr>
      <w:rPr>
        <w:rFonts w:hint="eastAsia"/>
      </w:rPr>
    </w:lvl>
  </w:abstractNum>
  <w:abstractNum w:abstractNumId="14">
    <w:nsid w:val="70330AB3"/>
    <w:multiLevelType w:val="singleLevel"/>
    <w:tmpl w:val="70330AB3"/>
    <w:lvl w:ilvl="0" w:tentative="0">
      <w:start w:val="1"/>
      <w:numFmt w:val="chineseCounting"/>
      <w:suff w:val="nothing"/>
      <w:lvlText w:val="（%1）"/>
      <w:lvlJc w:val="left"/>
      <w:pPr>
        <w:ind w:left="0" w:firstLine="420"/>
      </w:pPr>
      <w:rPr>
        <w:rFonts w:hint="eastAsia"/>
      </w:rPr>
    </w:lvl>
  </w:abstractNum>
  <w:num w:numId="1">
    <w:abstractNumId w:val="5"/>
  </w:num>
  <w:num w:numId="2">
    <w:abstractNumId w:val="14"/>
  </w:num>
  <w:num w:numId="3">
    <w:abstractNumId w:val="8"/>
  </w:num>
  <w:num w:numId="4">
    <w:abstractNumId w:val="13"/>
  </w:num>
  <w:num w:numId="5">
    <w:abstractNumId w:val="9"/>
  </w:num>
  <w:num w:numId="6">
    <w:abstractNumId w:val="6"/>
  </w:num>
  <w:num w:numId="7">
    <w:abstractNumId w:val="12"/>
  </w:num>
  <w:num w:numId="8">
    <w:abstractNumId w:val="10"/>
  </w:num>
  <w:num w:numId="9">
    <w:abstractNumId w:val="1"/>
  </w:num>
  <w:num w:numId="10">
    <w:abstractNumId w:val="0"/>
  </w:num>
  <w:num w:numId="11">
    <w:abstractNumId w:val="4"/>
  </w:num>
  <w:num w:numId="12">
    <w:abstractNumId w:val="3"/>
  </w:num>
  <w:num w:numId="13">
    <w:abstractNumId w:val="1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7FA4"/>
    <w:rsid w:val="0008696D"/>
    <w:rsid w:val="00156833"/>
    <w:rsid w:val="001742E5"/>
    <w:rsid w:val="001744C7"/>
    <w:rsid w:val="00202461"/>
    <w:rsid w:val="002048EC"/>
    <w:rsid w:val="002D6E5F"/>
    <w:rsid w:val="002E0F1F"/>
    <w:rsid w:val="00320BAA"/>
    <w:rsid w:val="0038149A"/>
    <w:rsid w:val="004D4BE3"/>
    <w:rsid w:val="005125FB"/>
    <w:rsid w:val="005545DC"/>
    <w:rsid w:val="00557DDC"/>
    <w:rsid w:val="005A30BA"/>
    <w:rsid w:val="005B65BF"/>
    <w:rsid w:val="00654E60"/>
    <w:rsid w:val="00671EF4"/>
    <w:rsid w:val="00672348"/>
    <w:rsid w:val="0074784D"/>
    <w:rsid w:val="007C7250"/>
    <w:rsid w:val="0080134E"/>
    <w:rsid w:val="008C7B33"/>
    <w:rsid w:val="008D3E15"/>
    <w:rsid w:val="00947620"/>
    <w:rsid w:val="009A1B73"/>
    <w:rsid w:val="00AD6686"/>
    <w:rsid w:val="00AF550C"/>
    <w:rsid w:val="00B35A89"/>
    <w:rsid w:val="00B51C79"/>
    <w:rsid w:val="00B76C52"/>
    <w:rsid w:val="00CD7308"/>
    <w:rsid w:val="00D574D6"/>
    <w:rsid w:val="00D70C47"/>
    <w:rsid w:val="00DC7F08"/>
    <w:rsid w:val="00E46B88"/>
    <w:rsid w:val="00E6092F"/>
    <w:rsid w:val="00E623A7"/>
    <w:rsid w:val="00E94D37"/>
    <w:rsid w:val="00F37672"/>
    <w:rsid w:val="00F933D1"/>
    <w:rsid w:val="00FD64F5"/>
    <w:rsid w:val="049D34CB"/>
    <w:rsid w:val="063F7033"/>
    <w:rsid w:val="06BE6711"/>
    <w:rsid w:val="0825693B"/>
    <w:rsid w:val="0ABB6543"/>
    <w:rsid w:val="0D50045A"/>
    <w:rsid w:val="0D535A7E"/>
    <w:rsid w:val="0DFE4B21"/>
    <w:rsid w:val="0F6D4E24"/>
    <w:rsid w:val="10FC494F"/>
    <w:rsid w:val="145D069B"/>
    <w:rsid w:val="156A57D3"/>
    <w:rsid w:val="1E8D30EF"/>
    <w:rsid w:val="24B03439"/>
    <w:rsid w:val="268C4AE3"/>
    <w:rsid w:val="26F01462"/>
    <w:rsid w:val="2C027152"/>
    <w:rsid w:val="2E9851D1"/>
    <w:rsid w:val="2EDB6B53"/>
    <w:rsid w:val="347C0F2D"/>
    <w:rsid w:val="348D6F76"/>
    <w:rsid w:val="34B07486"/>
    <w:rsid w:val="36C92894"/>
    <w:rsid w:val="3B527FA4"/>
    <w:rsid w:val="3BF7E2B2"/>
    <w:rsid w:val="3CD51FA8"/>
    <w:rsid w:val="3CFB0C3E"/>
    <w:rsid w:val="44992C7B"/>
    <w:rsid w:val="451F763A"/>
    <w:rsid w:val="47F92B79"/>
    <w:rsid w:val="48E16999"/>
    <w:rsid w:val="4FDD8056"/>
    <w:rsid w:val="505C284B"/>
    <w:rsid w:val="52E33145"/>
    <w:rsid w:val="53A25441"/>
    <w:rsid w:val="55CB50D0"/>
    <w:rsid w:val="57180E5C"/>
    <w:rsid w:val="57785C57"/>
    <w:rsid w:val="5BD83B52"/>
    <w:rsid w:val="60174B7B"/>
    <w:rsid w:val="62996F4B"/>
    <w:rsid w:val="651C1A88"/>
    <w:rsid w:val="669E32A2"/>
    <w:rsid w:val="685B13FC"/>
    <w:rsid w:val="7049171E"/>
    <w:rsid w:val="72517DCD"/>
    <w:rsid w:val="72C96C68"/>
    <w:rsid w:val="78355FCD"/>
    <w:rsid w:val="7F006A14"/>
    <w:rsid w:val="F31F4236"/>
    <w:rsid w:val="F8EE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rPr>
      <w:szCs w:val="20"/>
    </w:r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eastAsia="仿宋_GB2312" w:cs="Times New Roman"/>
      <w:sz w:val="24"/>
      <w:szCs w:val="20"/>
    </w:rPr>
  </w:style>
  <w:style w:type="character" w:styleId="11">
    <w:name w:val="Hyperlink"/>
    <w:qFormat/>
    <w:uiPriority w:val="0"/>
    <w:rPr>
      <w:color w:val="003399"/>
      <w:u w:val="none"/>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858</Words>
  <Characters>4896</Characters>
  <Lines>40</Lines>
  <Paragraphs>11</Paragraphs>
  <TotalTime>179</TotalTime>
  <ScaleCrop>false</ScaleCrop>
  <LinksUpToDate>false</LinksUpToDate>
  <CharactersWithSpaces>5743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2021-08-01T07:51:00Z</dcterms:created>
  <dc:creator>Gavin</dc:creator>
  <cp:lastModifiedBy>采联-605</cp:lastModifiedBy>
  <cp:lastPrinted>2023-06-01T17:52:00Z</cp:lastPrinted>
  <dcterms:modified xsi:type="dcterms:W3CDTF">2023-06-05T11:23:40Z</dcterms:modified>
  <dc:title>江门市2021年质量基础设施“一站式”</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26C91754DD4C469BB62CC22D32DCC91B</vt:lpwstr>
  </property>
</Properties>
</file>