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江门市市场监督管理局2023年首席质量官培育及宣贯项目合同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spacing w:line="60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甲、乙双方根据“江门市市场监督管理局2023年首席质量官培育及宣贯项目”采购公告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甲方委托乙方就江门市市场监督管理局2023年首席质量官培育及宣贯项目提供项目技术服务，具体服务内容及要求如下：</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1.协助举办企业首席质量官现场培训3期，包括：</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（1）首席质量官任职培训1期，培训人数约100人，培训时间为2天，地点为江门市区内酒店，培训结束后安排现场考试，并为通过考试的学员制作、颁发任职培训证书。</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①乙方负责培训会场的租赁</w:t>
      </w:r>
      <w:bookmarkStart w:id="0" w:name="_GoBack"/>
      <w:bookmarkEnd w:id="0"/>
      <w:r>
        <w:rPr>
          <w:rFonts w:hint="eastAsia" w:ascii="仿宋" w:hAnsi="仿宋" w:eastAsia="仿宋" w:cs="仿宋"/>
          <w:sz w:val="28"/>
          <w:szCs w:val="28"/>
        </w:rPr>
        <w:t>及布置，准备和制作100套教材、文具用品、证件票卡、证书等。</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②乙方负责聘请授课老师。</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③乙方负责编印试卷，组织考试和改卷，后期制作并邮寄证书。</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（2）在两个县（市、区）举办首席质量官专题培训2期，每期培训人数约100人，培训时间为0.5天，地点由各县（市、区）市场监管局协助提供，授课老师由乙方负责聘请。</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（3）乙方需指派3名工作人员做好相关培训过程中的会务工作。</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2.协助举办首席质量官能力提升网络培训5期：乙方负责聘请专家录制5期质量管理有关课程，采用在线播放及后期视频反复播放形式进行培训。每期视频约2小时。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（1）至少聘请专家4人以上，且专家级别为行业内资深高工或企业负责人。</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（2）制作网络播放连接及课程开播前微信宣传图片不少于3期，收集汇总网络培训参训人员名单。</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3.协助甲方指导我市（江门市）企业实施首席质量官制度。</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（1）聘请专家在线讲解优秀首席质量官评选规则和案例，时长约2小时。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（2）协助审查约10个首席质量官实践典型案例并指导企业完善材料。</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（3）组织1期首席质量官现场指导会或交流会，邀请专家与企业面对面交流指导。</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4.协助制定江门市优秀首席质量官评选标准。聘请3名专家对我市优秀首席质量官评选标准进行研讨并最终形成评审标准等相关文本。</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自本合同签署生效之日起算至2023年11月15日止。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首席质量官培育及宣贯项目系列活动服务前，提供相应的方案、资料给甲方审核无误后，在甲方指定的期限内开展；乙方应当保障专家授课及培育指导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甲、乙双方在本合同项下的地址和联系方式为文件有效的送达地址，对方的文件、司法机关的文件、合同解除的通知一经到达即视为送达；一方如有变更，应在变更前3日内书面通知对方，否则，视为未变更。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江门市市场监督管理局2023年首席质量官培育及宣贯项目采购公告；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B49B4"/>
    <w:rsid w:val="000D5683"/>
    <w:rsid w:val="000F477F"/>
    <w:rsid w:val="0014793B"/>
    <w:rsid w:val="00155787"/>
    <w:rsid w:val="00201EA2"/>
    <w:rsid w:val="0033227E"/>
    <w:rsid w:val="00436BDA"/>
    <w:rsid w:val="004B354A"/>
    <w:rsid w:val="00526571"/>
    <w:rsid w:val="00593C8D"/>
    <w:rsid w:val="00672E42"/>
    <w:rsid w:val="006C464B"/>
    <w:rsid w:val="00725C26"/>
    <w:rsid w:val="0072690E"/>
    <w:rsid w:val="00856155"/>
    <w:rsid w:val="008F6ECE"/>
    <w:rsid w:val="00966675"/>
    <w:rsid w:val="009869FC"/>
    <w:rsid w:val="00AE43BC"/>
    <w:rsid w:val="00AE5953"/>
    <w:rsid w:val="00BE69C5"/>
    <w:rsid w:val="00D45EE9"/>
    <w:rsid w:val="00D71116"/>
    <w:rsid w:val="00DC26E1"/>
    <w:rsid w:val="00DC322A"/>
    <w:rsid w:val="00E301AD"/>
    <w:rsid w:val="00E33165"/>
    <w:rsid w:val="00E441F6"/>
    <w:rsid w:val="00E548E5"/>
    <w:rsid w:val="00E771EC"/>
    <w:rsid w:val="00E859C4"/>
    <w:rsid w:val="00E94B26"/>
    <w:rsid w:val="00EC758D"/>
    <w:rsid w:val="00ED7CC2"/>
    <w:rsid w:val="00F26507"/>
    <w:rsid w:val="00F42765"/>
    <w:rsid w:val="00FD5AF4"/>
    <w:rsid w:val="00FF4D92"/>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F5F4F93"/>
    <w:rsid w:val="72AF67A9"/>
    <w:rsid w:val="76A81E4D"/>
    <w:rsid w:val="79276609"/>
    <w:rsid w:val="79D5823A"/>
    <w:rsid w:val="7EFEE140"/>
    <w:rsid w:val="7FCEBE8C"/>
    <w:rsid w:val="7FFFA2F7"/>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4416</Words>
  <Characters>234</Characters>
  <Lines>1</Lines>
  <Paragraphs>9</Paragraphs>
  <TotalTime>39</TotalTime>
  <ScaleCrop>false</ScaleCrop>
  <LinksUpToDate>false</LinksUpToDate>
  <CharactersWithSpaces>4641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2023-04-21T19:46:00Z</dcterms:created>
  <dc:creator>Administrator</dc:creator>
  <cp:lastModifiedBy>greatwall</cp:lastModifiedBy>
  <cp:lastPrinted>2023-05-17T11:02:00Z</cp:lastPrinted>
  <dcterms:modified xsi:type="dcterms:W3CDTF">2023-05-23T08:53:36Z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