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江门市市场监督管理局新会陈皮地理标志产品促进培训和参展项目服务协议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江门市市场监督管理局新会陈皮地理标志产品促进培训和参展项目”（项目编号：xxxxxx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7"/>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新会陈皮地理标志产品促进培训和参展项目</w:t>
      </w:r>
      <w:r>
        <w:rPr>
          <w:rFonts w:hint="eastAsia" w:ascii="仿宋" w:hAnsi="仿宋" w:eastAsia="仿宋" w:cs="仿宋"/>
          <w:sz w:val="28"/>
          <w:szCs w:val="28"/>
        </w:rPr>
        <w:t>，乙方的工作内容包括，开展专题培训，发动组织新会陈皮相关市场主体组团参加国内地理标志相关展会。具体工作方式如下：</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（一）乙方开展新会陈皮地理标志专题培训1场，为期1天，参训人数不少于80人次</w:t>
      </w:r>
      <w:r>
        <w:rPr>
          <w:rFonts w:hint="eastAsia" w:ascii="仿宋" w:hAnsi="仿宋" w:eastAsia="仿宋" w:cs="仿宋"/>
          <w:sz w:val="28"/>
          <w:szCs w:val="28"/>
        </w:rPr>
        <w:t>。负责邀请省内外知识产权专家学者、企业代表、法律实务专家等授课，要求专家具有知识产权领域专业特长，有较高的学术造诣或丰富的实践经验，熟悉国家和省、市有关知识产权发展的方针、政策及国内外知识产权发展动态。</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（二）乙方发动组织不少于15家新会陈皮相关市场主体组团参加国内地理标志相关展会（国内大型展会，预计参加3个）</w:t>
      </w:r>
      <w:r>
        <w:rPr>
          <w:rFonts w:hint="eastAsia" w:ascii="仿宋" w:hAnsi="仿宋" w:eastAsia="仿宋" w:cs="仿宋"/>
          <w:sz w:val="28"/>
          <w:szCs w:val="28"/>
        </w:rPr>
        <w:t>，并进行品牌推广等工作。</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（三）乙方通过媒体开展新会陈皮地理标志品牌网络线上推广活动</w:t>
      </w:r>
      <w:r>
        <w:rPr>
          <w:rFonts w:hint="eastAsia" w:ascii="仿宋" w:hAnsi="仿宋" w:eastAsia="仿宋" w:cs="仿宋"/>
          <w:sz w:val="28"/>
          <w:szCs w:val="28"/>
        </w:rPr>
        <w:t>，共10篇，其中2篇要在主流媒体（人民日报、中国知识产权报、广东知识产权、南方日报等）推送，进一步提升新会陈皮地理标志品牌产品市场知名度，引导更多地理标志提升品牌影响力和产品附加值。</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对参加项目人员的交通、餐饮、防疫等相关工作进行统筹及执行，保证整体活动在符合疫情防控的条件下有序开展。</w:t>
      </w:r>
    </w:p>
    <w:p>
      <w:pPr>
        <w:pStyle w:val="16"/>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6"/>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w:t>
      </w:r>
      <w:r>
        <w:rPr>
          <w:rFonts w:hint="eastAsia" w:ascii="仿宋" w:hAnsi="仿宋" w:eastAsia="仿宋" w:cs="仿宋"/>
          <w:color w:val="000000"/>
          <w:sz w:val="28"/>
          <w:szCs w:val="28"/>
          <w:u w:val="none"/>
        </w:rPr>
        <w:t>自本协议签订生效之日起至</w:t>
      </w:r>
      <w:r>
        <w:rPr>
          <w:rFonts w:ascii="仿宋" w:hAnsi="仿宋" w:eastAsia="仿宋" w:cs="仿宋"/>
          <w:color w:val="000000"/>
          <w:sz w:val="28"/>
          <w:szCs w:val="28"/>
        </w:rPr>
        <w:t>2023年11月20日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壹拾捌万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180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第一期：甲、乙双方签订本协议后，甲方收到乙方开具的相对应金额发票之日起30个工作日内，向乙方支付项目总费用60%，即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拾万捌仟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108000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第二期：本协议签订满30日后，</w:t>
      </w:r>
      <w:r>
        <w:rPr>
          <w:rFonts w:hint="eastAsia" w:ascii="仿宋" w:hAnsi="仿宋" w:eastAsia="仿宋" w:cs="仿宋"/>
          <w:sz w:val="28"/>
          <w:szCs w:val="28"/>
          <w:lang w:eastAsia="zh-CN"/>
        </w:rPr>
        <w:t>工作进度达</w:t>
      </w:r>
      <w:r>
        <w:rPr>
          <w:rFonts w:hint="eastAsia" w:ascii="仿宋" w:hAnsi="仿宋" w:eastAsia="仿宋" w:cs="仿宋"/>
          <w:sz w:val="28"/>
          <w:szCs w:val="28"/>
          <w:lang w:val="en-US" w:eastAsia="zh-CN"/>
        </w:rPr>
        <w:t>60%，</w:t>
      </w:r>
      <w:r>
        <w:rPr>
          <w:rFonts w:hint="eastAsia" w:ascii="仿宋" w:hAnsi="仿宋" w:eastAsia="仿宋" w:cs="仿宋"/>
          <w:sz w:val="28"/>
          <w:szCs w:val="28"/>
        </w:rPr>
        <w:t>由乙方向甲方提出支付申请，甲方审核通过后，向乙方支付项目总费用</w:t>
      </w:r>
      <w:r>
        <w:rPr>
          <w:rFonts w:hint="eastAsia" w:ascii="仿宋" w:hAnsi="仿宋" w:eastAsia="仿宋" w:cs="仿宋"/>
          <w:sz w:val="28"/>
          <w:szCs w:val="28"/>
          <w:lang w:val="en-US" w:eastAsia="zh-CN"/>
        </w:rPr>
        <w:t>3</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伍</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lang w:eastAsia="zh-CN" w:bidi="ar"/>
        </w:rPr>
        <w:t>肆</w:t>
      </w:r>
      <w:r>
        <w:rPr>
          <w:rFonts w:hint="eastAsia" w:ascii="仿宋" w:hAnsi="仿宋" w:eastAsia="仿宋" w:cs="仿宋"/>
          <w:bCs/>
          <w:sz w:val="28"/>
          <w:szCs w:val="28"/>
          <w:u w:val="single"/>
          <w:lang w:bidi="ar"/>
        </w:rPr>
        <w:t>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lang w:val="en-US" w:eastAsia="zh-CN"/>
        </w:rPr>
        <w:t>54</w:t>
      </w:r>
      <w:r>
        <w:rPr>
          <w:rFonts w:hint="eastAsia" w:ascii="仿宋" w:hAnsi="仿宋" w:eastAsia="仿宋" w:cs="仿宋"/>
          <w:bCs/>
          <w:sz w:val="28"/>
          <w:szCs w:val="28"/>
          <w:u w:val="single"/>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第三期：项目完成后，</w:t>
      </w:r>
      <w:r>
        <w:rPr>
          <w:rFonts w:hint="eastAsia" w:ascii="仿宋" w:hAnsi="仿宋" w:eastAsia="仿宋" w:cs="仿宋"/>
          <w:sz w:val="28"/>
          <w:szCs w:val="28"/>
        </w:rPr>
        <w:t>由乙方向甲方提出支付申请，甲方审核通过后，自收到乙方开具的相对应金额发票之日起</w:t>
      </w:r>
      <w:r>
        <w:rPr>
          <w:rFonts w:hint="eastAsia" w:ascii="仿宋" w:hAnsi="仿宋" w:eastAsia="仿宋" w:cs="仿宋"/>
          <w:sz w:val="28"/>
          <w:szCs w:val="28"/>
          <w:lang w:val="en-US" w:eastAsia="zh-CN"/>
        </w:rPr>
        <w:t>3</w:t>
      </w:r>
      <w:r>
        <w:rPr>
          <w:rFonts w:hint="eastAsia" w:ascii="仿宋" w:hAnsi="仿宋" w:eastAsia="仿宋" w:cs="仿宋"/>
          <w:sz w:val="28"/>
          <w:szCs w:val="28"/>
        </w:rPr>
        <w:t>0个工作日内向乙方支付剩余的项目</w:t>
      </w:r>
      <w:r>
        <w:rPr>
          <w:rFonts w:hint="eastAsia" w:ascii="仿宋" w:hAnsi="仿宋" w:eastAsia="仿宋" w:cs="仿宋"/>
          <w:sz w:val="28"/>
          <w:szCs w:val="28"/>
          <w:lang w:eastAsia="zh-CN"/>
        </w:rPr>
        <w:t>总</w:t>
      </w:r>
      <w:r>
        <w:rPr>
          <w:rFonts w:hint="eastAsia" w:ascii="仿宋" w:hAnsi="仿宋" w:eastAsia="仿宋" w:cs="仿宋"/>
          <w:sz w:val="28"/>
          <w:szCs w:val="28"/>
        </w:rPr>
        <w:t>费用</w:t>
      </w:r>
      <w:r>
        <w:rPr>
          <w:rFonts w:hint="eastAsia" w:ascii="仿宋" w:hAnsi="仿宋" w:eastAsia="仿宋" w:cs="仿宋"/>
          <w:sz w:val="28"/>
          <w:szCs w:val="28"/>
          <w:lang w:val="en-US" w:eastAsia="zh-CN"/>
        </w:rPr>
        <w:t>10%，</w:t>
      </w:r>
      <w:r>
        <w:rPr>
          <w:rFonts w:hint="eastAsia" w:ascii="仿宋" w:hAnsi="仿宋" w:eastAsia="仿宋" w:cs="仿宋"/>
          <w:sz w:val="28"/>
          <w:szCs w:val="28"/>
        </w:rPr>
        <w:t>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壹</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lang w:eastAsia="zh-CN" w:bidi="ar"/>
        </w:rPr>
        <w:t>捌</w:t>
      </w:r>
      <w:r>
        <w:rPr>
          <w:rFonts w:hint="eastAsia" w:ascii="仿宋" w:hAnsi="仿宋" w:eastAsia="仿宋" w:cs="仿宋"/>
          <w:bCs/>
          <w:sz w:val="28"/>
          <w:szCs w:val="28"/>
          <w:u w:val="single"/>
          <w:lang w:bidi="ar"/>
        </w:rPr>
        <w:t>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1"/>
          <w:numId w:val="0"/>
        </w:numPr>
        <w:spacing w:line="560" w:lineRule="exact"/>
        <w:ind w:left="600" w:leftChars="200" w:firstLine="0" w:firstLineChars="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6"/>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7"/>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numPr>
          <w:ilvl w:val="0"/>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numPr>
          <w:ilvl w:val="0"/>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numPr>
          <w:ilvl w:val="0"/>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甲、乙双方在本协议项下的地址和联系方式为文件有效的送达地址；对方的文件、司法机关的文件、合同解除的通知一经到达或退回即视为送达，一方如有变更，应在变更前</w:t>
      </w:r>
      <w:r>
        <w:rPr>
          <w:rFonts w:ascii="仿宋" w:hAnsi="仿宋" w:eastAsia="仿宋" w:cs="仿宋"/>
          <w:sz w:val="28"/>
          <w:szCs w:val="28"/>
        </w:rPr>
        <w:t>3日内通知对方，否则，视为未变更。</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0"/>
        <w:numPr>
          <w:ilvl w:val="0"/>
          <w:numId w:val="11"/>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0"/>
        <w:numPr>
          <w:ilvl w:val="0"/>
          <w:numId w:val="12"/>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仿宋"/>
          <w:szCs w:val="28"/>
        </w:rPr>
        <w:t>新会陈皮地理标志产品促进培训和参展项目采购公告；</w:t>
      </w:r>
    </w:p>
    <w:p>
      <w:pPr>
        <w:pStyle w:val="10"/>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A5D54"/>
    <w:rsid w:val="000C2B5A"/>
    <w:rsid w:val="00164959"/>
    <w:rsid w:val="001A07F1"/>
    <w:rsid w:val="001D3FEC"/>
    <w:rsid w:val="00200E0F"/>
    <w:rsid w:val="00201EA2"/>
    <w:rsid w:val="00291039"/>
    <w:rsid w:val="002A1EA9"/>
    <w:rsid w:val="003B6187"/>
    <w:rsid w:val="00426D70"/>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A408D"/>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FA76621"/>
    <w:rsid w:val="404A6C17"/>
    <w:rsid w:val="43F43818"/>
    <w:rsid w:val="452404E0"/>
    <w:rsid w:val="47C7B3FB"/>
    <w:rsid w:val="4B562BFB"/>
    <w:rsid w:val="4D261BEA"/>
    <w:rsid w:val="4DD70C4E"/>
    <w:rsid w:val="5789094D"/>
    <w:rsid w:val="5BB2671C"/>
    <w:rsid w:val="5BEF185C"/>
    <w:rsid w:val="690D3BC4"/>
    <w:rsid w:val="693B3F28"/>
    <w:rsid w:val="6B160BA9"/>
    <w:rsid w:val="6B7E7578"/>
    <w:rsid w:val="6C7B1287"/>
    <w:rsid w:val="6F5F4F93"/>
    <w:rsid w:val="718B1CD0"/>
    <w:rsid w:val="72AF67A9"/>
    <w:rsid w:val="76A81E4D"/>
    <w:rsid w:val="79276609"/>
    <w:rsid w:val="79FD0554"/>
    <w:rsid w:val="7A6597BF"/>
    <w:rsid w:val="7AFF012B"/>
    <w:rsid w:val="7B5E7625"/>
    <w:rsid w:val="7E5E7BCD"/>
    <w:rsid w:val="7EFEE140"/>
    <w:rsid w:val="7F3F9044"/>
    <w:rsid w:val="7FFD0E42"/>
    <w:rsid w:val="9CFB3564"/>
    <w:rsid w:val="D6BD59A0"/>
    <w:rsid w:val="DDFE42F3"/>
    <w:rsid w:val="ED574106"/>
    <w:rsid w:val="F3CF9E3A"/>
    <w:rsid w:val="F8ECC9F4"/>
    <w:rsid w:val="F9CED2AB"/>
    <w:rsid w:val="FBFE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9"/>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20"/>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msolistparagraph"/>
    <w:basedOn w:val="1"/>
    <w:qFormat/>
    <w:uiPriority w:val="0"/>
    <w:pPr>
      <w:ind w:firstLine="420" w:firstLineChars="200"/>
    </w:pPr>
    <w:rPr>
      <w:rFonts w:ascii="Calibri" w:hAnsi="Calibri" w:eastAsia="宋体"/>
      <w:sz w:val="21"/>
      <w:szCs w:val="22"/>
    </w:rPr>
  </w:style>
  <w:style w:type="character" w:customStyle="1" w:styleId="15">
    <w:name w:val="批注框文本 Char"/>
    <w:basedOn w:val="12"/>
    <w:link w:val="5"/>
    <w:qFormat/>
    <w:uiPriority w:val="0"/>
    <w:rPr>
      <w:rFonts w:eastAsia="仿宋_GB2312"/>
      <w:kern w:val="2"/>
      <w:sz w:val="18"/>
      <w:szCs w:val="18"/>
    </w:rPr>
  </w:style>
  <w:style w:type="paragraph" w:customStyle="1" w:styleId="16">
    <w:name w:val="普通(网站)1"/>
    <w:basedOn w:val="1"/>
    <w:qFormat/>
    <w:uiPriority w:val="0"/>
    <w:pPr>
      <w:jc w:val="left"/>
    </w:pPr>
    <w:rPr>
      <w:rFonts w:ascii="Calibri" w:hAnsi="Calibri" w:eastAsia="宋体" w:cs="黑体"/>
      <w:kern w:val="0"/>
      <w:sz w:val="24"/>
      <w:szCs w:val="24"/>
    </w:rPr>
  </w:style>
  <w:style w:type="paragraph" w:customStyle="1" w:styleId="17">
    <w:name w:val="普通(网站)2"/>
    <w:basedOn w:val="1"/>
    <w:qFormat/>
    <w:uiPriority w:val="0"/>
    <w:pPr>
      <w:jc w:val="left"/>
    </w:pPr>
    <w:rPr>
      <w:rFonts w:ascii="Calibri" w:hAnsi="Calibri" w:cs="黑体"/>
      <w:kern w:val="0"/>
      <w:sz w:val="24"/>
      <w:szCs w:val="24"/>
    </w:rPr>
  </w:style>
  <w:style w:type="paragraph" w:customStyle="1" w:styleId="18">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9">
    <w:name w:val="批注文字 Char"/>
    <w:basedOn w:val="12"/>
    <w:link w:val="3"/>
    <w:qFormat/>
    <w:uiPriority w:val="0"/>
    <w:rPr>
      <w:rFonts w:eastAsia="仿宋_GB2312"/>
      <w:kern w:val="2"/>
      <w:sz w:val="30"/>
    </w:rPr>
  </w:style>
  <w:style w:type="character" w:customStyle="1" w:styleId="20">
    <w:name w:val="批注主题 Char"/>
    <w:basedOn w:val="19"/>
    <w:link w:val="9"/>
    <w:qFormat/>
    <w:uiPriority w:val="0"/>
    <w:rPr>
      <w:rFonts w:eastAsia="仿宋_GB2312"/>
      <w:b/>
      <w:bCs/>
      <w:kern w:val="2"/>
      <w:sz w:val="3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587</Words>
  <Characters>3349</Characters>
  <Lines>27</Lines>
  <Paragraphs>7</Paragraphs>
  <TotalTime>2</TotalTime>
  <ScaleCrop>false</ScaleCrop>
  <LinksUpToDate>false</LinksUpToDate>
  <CharactersWithSpaces>3929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2022-03-31T08:25:00Z</dcterms:created>
  <dc:creator>Administrator</dc:creator>
  <cp:lastModifiedBy>采联-605</cp:lastModifiedBy>
  <cp:lastPrinted>2023-05-17T02:09:00Z</cp:lastPrinted>
  <dcterms:modified xsi:type="dcterms:W3CDTF">2023-05-18T15:34:18Z</dcterms:modified>
  <dc:title>2020年江门市工业产品生产许可证证后</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