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ind w:left="432" w:leftChars="0" w:hanging="432" w:firstLineChars="0"/>
        <w:jc w:val="center"/>
        <w:rPr>
          <w:lang w:val="zh-CN"/>
        </w:rPr>
      </w:pPr>
      <w:r>
        <w:rPr>
          <w:rFonts w:hint="eastAsia"/>
          <w:lang w:val="zh-CN"/>
        </w:rPr>
        <w:t>采购需求</w:t>
      </w:r>
    </w:p>
    <w:p>
      <w:pPr>
        <w:pStyle w:val="4"/>
        <w:bidi w:val="0"/>
      </w:pPr>
      <w:r>
        <w:rPr>
          <w:rFonts w:hint="eastAsia"/>
        </w:rPr>
        <w:t>需求概述</w:t>
      </w:r>
    </w:p>
    <w:p>
      <w:pPr>
        <w:spacing w:line="360" w:lineRule="auto"/>
        <w:ind w:firstLine="480" w:firstLineChars="200"/>
        <w:jc w:val="left"/>
        <w:rPr>
          <w:rFonts w:ascii="宋体" w:hAnsi="宋体"/>
          <w:sz w:val="24"/>
        </w:rPr>
      </w:pPr>
      <w:r>
        <w:rPr>
          <w:rFonts w:hint="eastAsia" w:ascii="宋体" w:hAnsi="宋体"/>
          <w:sz w:val="24"/>
        </w:rPr>
        <w:t>为贯彻落实国家信息安全等级保护相关要求，采购人拟委托具有国家承认测评资质的测评机构对采购人所属信息系统展开</w:t>
      </w:r>
      <w:r>
        <w:rPr>
          <w:rFonts w:hint="eastAsia" w:ascii="宋体" w:hAnsi="宋体"/>
          <w:sz w:val="24"/>
          <w:lang w:val="en-US" w:eastAsia="zh-CN"/>
        </w:rPr>
        <w:t>等级保护测评与网络安全检测</w:t>
      </w:r>
      <w:r>
        <w:rPr>
          <w:rFonts w:hint="eastAsia" w:ascii="宋体" w:hAnsi="宋体"/>
          <w:sz w:val="24"/>
        </w:rPr>
        <w:t>，找出与</w:t>
      </w:r>
      <w:r>
        <w:rPr>
          <w:rFonts w:hint="eastAsia" w:ascii="宋体" w:hAnsi="宋体"/>
          <w:sz w:val="24"/>
          <w:lang w:val="en-US" w:eastAsia="zh-CN"/>
        </w:rPr>
        <w:t>系统中存在的安全风险</w:t>
      </w:r>
      <w:r>
        <w:rPr>
          <w:rFonts w:hint="eastAsia" w:ascii="宋体" w:hAnsi="宋体"/>
          <w:sz w:val="24"/>
        </w:rPr>
        <w:t>，保障江门市</w:t>
      </w:r>
      <w:r>
        <w:rPr>
          <w:rFonts w:hint="eastAsia" w:ascii="宋体" w:hAnsi="宋体"/>
          <w:sz w:val="24"/>
          <w:lang w:val="en-US" w:eastAsia="zh-CN"/>
        </w:rPr>
        <w:t>市场监督管理局</w:t>
      </w:r>
      <w:r>
        <w:rPr>
          <w:rFonts w:hint="eastAsia" w:ascii="宋体" w:hAnsi="宋体"/>
          <w:sz w:val="24"/>
        </w:rPr>
        <w:t>信息系统的安全稳定运行</w:t>
      </w:r>
      <w:r>
        <w:rPr>
          <w:rFonts w:hint="eastAsia" w:ascii="宋体" w:hAnsi="宋体"/>
          <w:sz w:val="24"/>
          <w:lang w:eastAsia="zh-CN"/>
        </w:rPr>
        <w:t>。</w:t>
      </w:r>
      <w:r>
        <w:rPr>
          <w:rFonts w:hint="eastAsia" w:ascii="宋体" w:hAnsi="宋体"/>
          <w:sz w:val="24"/>
        </w:rPr>
        <w:t>在此</w:t>
      </w:r>
      <w:r>
        <w:rPr>
          <w:rFonts w:ascii="宋体" w:hAnsi="宋体"/>
          <w:sz w:val="24"/>
        </w:rPr>
        <w:t>基础上，</w:t>
      </w:r>
      <w:r>
        <w:rPr>
          <w:rFonts w:hint="eastAsia" w:ascii="宋体" w:hAnsi="宋体"/>
          <w:sz w:val="24"/>
        </w:rPr>
        <w:t>采购人</w:t>
      </w:r>
      <w:r>
        <w:rPr>
          <w:rFonts w:ascii="宋体" w:hAnsi="宋体"/>
          <w:sz w:val="24"/>
        </w:rPr>
        <w:t>按照国家有关规定和标准规范要求对信息系统进行</w:t>
      </w:r>
      <w:r>
        <w:rPr>
          <w:rFonts w:hint="eastAsia" w:ascii="宋体" w:hAnsi="宋体"/>
          <w:sz w:val="24"/>
        </w:rPr>
        <w:t>安全</w:t>
      </w:r>
      <w:r>
        <w:rPr>
          <w:rFonts w:ascii="宋体" w:hAnsi="宋体"/>
          <w:sz w:val="24"/>
        </w:rPr>
        <w:t>建设整改，并达到国家信息安全等级保护相关要求，通过公安等级保护主管部门的备案审核。切实提高</w:t>
      </w:r>
      <w:r>
        <w:rPr>
          <w:rFonts w:hint="eastAsia" w:ascii="宋体" w:hAnsi="宋体"/>
          <w:sz w:val="24"/>
        </w:rPr>
        <w:t>采购人</w:t>
      </w:r>
      <w:r>
        <w:rPr>
          <w:rFonts w:ascii="宋体" w:hAnsi="宋体"/>
          <w:sz w:val="24"/>
        </w:rPr>
        <w:t>的信息安全防护水平，增强信息安全防护能力。</w:t>
      </w:r>
    </w:p>
    <w:p>
      <w:pPr>
        <w:pStyle w:val="4"/>
        <w:bidi w:val="0"/>
      </w:pPr>
      <w:r>
        <w:rPr>
          <w:rFonts w:hint="eastAsia"/>
          <w:lang w:val="en-US" w:eastAsia="zh-CN"/>
        </w:rPr>
        <w:t>等保</w:t>
      </w:r>
      <w:r>
        <w:rPr>
          <w:rFonts w:hint="eastAsia"/>
        </w:rPr>
        <w:t>测评</w:t>
      </w:r>
      <w:r>
        <w:rPr>
          <w:rFonts w:hint="eastAsia"/>
          <w:lang w:val="en-US" w:eastAsia="zh-CN"/>
        </w:rPr>
        <w:t>内容</w:t>
      </w:r>
    </w:p>
    <w:tbl>
      <w:tblPr>
        <w:tblStyle w:val="14"/>
        <w:tblW w:w="7796" w:type="dxa"/>
        <w:tblInd w:w="101" w:type="dxa"/>
        <w:tblLayout w:type="fixed"/>
        <w:tblCellMar>
          <w:top w:w="0" w:type="dxa"/>
          <w:left w:w="0" w:type="dxa"/>
          <w:bottom w:w="0" w:type="dxa"/>
          <w:right w:w="0" w:type="dxa"/>
        </w:tblCellMar>
      </w:tblPr>
      <w:tblGrid>
        <w:gridCol w:w="992"/>
        <w:gridCol w:w="2554"/>
        <w:gridCol w:w="2125"/>
        <w:gridCol w:w="2125"/>
      </w:tblGrid>
      <w:tr>
        <w:tblPrEx>
          <w:tblCellMar>
            <w:top w:w="0" w:type="dxa"/>
            <w:left w:w="0" w:type="dxa"/>
            <w:bottom w:w="0" w:type="dxa"/>
            <w:right w:w="0" w:type="dxa"/>
          </w:tblCellMar>
        </w:tblPrEx>
        <w:trPr>
          <w:trHeight w:val="458" w:hRule="exact"/>
        </w:trPr>
        <w:tc>
          <w:tcPr>
            <w:tcW w:w="99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cs="宋体"/>
                <w:kern w:val="0"/>
                <w:szCs w:val="21"/>
                <w:lang w:eastAsia="en-US"/>
              </w:rPr>
            </w:pPr>
            <w:r>
              <w:rPr>
                <w:rFonts w:ascii="宋体" w:hAnsi="宋体" w:cs="宋体"/>
                <w:b/>
                <w:bCs/>
                <w:kern w:val="0"/>
                <w:szCs w:val="21"/>
                <w:lang w:eastAsia="en-US"/>
              </w:rPr>
              <w:t>序号</w:t>
            </w:r>
          </w:p>
        </w:tc>
        <w:tc>
          <w:tcPr>
            <w:tcW w:w="2554"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cs="宋体"/>
                <w:kern w:val="0"/>
                <w:szCs w:val="21"/>
                <w:lang w:eastAsia="en-US"/>
              </w:rPr>
            </w:pPr>
            <w:r>
              <w:rPr>
                <w:rFonts w:ascii="宋体" w:hAnsi="宋体" w:cs="宋体"/>
                <w:b/>
                <w:bCs/>
                <w:kern w:val="0"/>
                <w:szCs w:val="21"/>
                <w:lang w:eastAsia="en-US"/>
              </w:rPr>
              <w:t>系统名称</w:t>
            </w:r>
          </w:p>
        </w:tc>
        <w:tc>
          <w:tcPr>
            <w:tcW w:w="2125"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kern w:val="0"/>
                <w:szCs w:val="21"/>
                <w:lang w:eastAsia="zh-CN"/>
              </w:rPr>
            </w:pPr>
            <w:r>
              <w:rPr>
                <w:rFonts w:ascii="宋体" w:hAnsi="宋体" w:cs="宋体"/>
                <w:b/>
                <w:bCs/>
                <w:kern w:val="0"/>
                <w:szCs w:val="21"/>
                <w:lang w:eastAsia="en-US"/>
              </w:rPr>
              <w:t>系统安全等级</w:t>
            </w:r>
          </w:p>
        </w:tc>
        <w:tc>
          <w:tcPr>
            <w:tcW w:w="2125"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default" w:ascii="宋体" w:hAnsi="宋体" w:eastAsia="宋体" w:cs="宋体"/>
                <w:b/>
                <w:bCs/>
                <w:kern w:val="0"/>
                <w:szCs w:val="21"/>
                <w:lang w:val="en-US" w:eastAsia="zh-CN"/>
              </w:rPr>
            </w:pPr>
            <w:r>
              <w:rPr>
                <w:rFonts w:hint="eastAsia" w:ascii="宋体" w:hAnsi="宋体" w:cs="宋体"/>
                <w:b/>
                <w:bCs/>
                <w:kern w:val="0"/>
                <w:szCs w:val="21"/>
                <w:lang w:val="en-US" w:eastAsia="zh-CN"/>
              </w:rPr>
              <w:t>服务内容</w:t>
            </w:r>
          </w:p>
        </w:tc>
      </w:tr>
      <w:tr>
        <w:tblPrEx>
          <w:tblCellMar>
            <w:top w:w="0" w:type="dxa"/>
            <w:left w:w="0" w:type="dxa"/>
            <w:bottom w:w="0" w:type="dxa"/>
            <w:right w:w="0" w:type="dxa"/>
          </w:tblCellMar>
        </w:tblPrEx>
        <w:trPr>
          <w:trHeight w:val="500" w:hRule="exact"/>
        </w:trPr>
        <w:tc>
          <w:tcPr>
            <w:tcW w:w="992" w:type="dxa"/>
            <w:tcBorders>
              <w:top w:val="single" w:color="000000" w:sz="6" w:space="0"/>
              <w:left w:val="single" w:color="000000" w:sz="6" w:space="0"/>
              <w:bottom w:val="single" w:color="000000" w:sz="6" w:space="0"/>
              <w:right w:val="single" w:color="auto" w:sz="4" w:space="0"/>
            </w:tcBorders>
            <w:noWrap w:val="0"/>
            <w:vAlign w:val="center"/>
          </w:tcPr>
          <w:p>
            <w:pPr>
              <w:spacing w:line="240" w:lineRule="exact"/>
              <w:ind w:left="30"/>
              <w:jc w:val="center"/>
              <w:rPr>
                <w:rFonts w:ascii="宋体" w:hAnsi="宋体" w:cs="宋体"/>
                <w:kern w:val="0"/>
                <w:szCs w:val="21"/>
                <w:lang w:eastAsia="en-US"/>
              </w:rPr>
            </w:pPr>
            <w:r>
              <w:rPr>
                <w:rFonts w:hint="eastAsia" w:ascii="宋体" w:hAnsi="宋体" w:cs="宋体"/>
                <w:kern w:val="0"/>
                <w:szCs w:val="21"/>
                <w:lang w:eastAsia="en-US"/>
              </w:rPr>
              <w:t>1</w:t>
            </w:r>
          </w:p>
        </w:tc>
        <w:tc>
          <w:tcPr>
            <w:tcW w:w="2554" w:type="dxa"/>
            <w:tcBorders>
              <w:top w:val="single" w:color="000000" w:sz="6" w:space="0"/>
              <w:left w:val="single" w:color="auto" w:sz="4" w:space="0"/>
              <w:bottom w:val="single" w:color="000000" w:sz="6" w:space="0"/>
              <w:right w:val="single" w:color="auto" w:sz="4" w:space="0"/>
            </w:tcBorders>
            <w:noWrap w:val="0"/>
            <w:vAlign w:val="center"/>
          </w:tcPr>
          <w:p>
            <w:pPr>
              <w:spacing w:line="240" w:lineRule="exact"/>
              <w:jc w:val="cente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企业档案电子化综合管理系统</w:t>
            </w:r>
          </w:p>
        </w:tc>
        <w:tc>
          <w:tcPr>
            <w:tcW w:w="2125" w:type="dxa"/>
            <w:tcBorders>
              <w:top w:val="single" w:color="000000" w:sz="6" w:space="0"/>
              <w:left w:val="single" w:color="auto" w:sz="4" w:space="0"/>
              <w:bottom w:val="single" w:color="000000" w:sz="6" w:space="0"/>
              <w:right w:val="single" w:color="000000" w:sz="6" w:space="0"/>
            </w:tcBorders>
            <w:noWrap w:val="0"/>
            <w:vAlign w:val="center"/>
          </w:tcPr>
          <w:p>
            <w:pPr>
              <w:spacing w:line="240" w:lineRule="exac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二级</w:t>
            </w:r>
          </w:p>
        </w:tc>
        <w:tc>
          <w:tcPr>
            <w:tcW w:w="2125" w:type="dxa"/>
            <w:tcBorders>
              <w:top w:val="single" w:color="000000" w:sz="6" w:space="0"/>
              <w:left w:val="single" w:color="auto" w:sz="4" w:space="0"/>
              <w:bottom w:val="single" w:color="000000" w:sz="6" w:space="0"/>
              <w:right w:val="single" w:color="000000" w:sz="6" w:space="0"/>
            </w:tcBorders>
            <w:noWrap w:val="0"/>
            <w:vAlign w:val="center"/>
          </w:tcPr>
          <w:p>
            <w:pPr>
              <w:spacing w:line="24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等级保护测评</w:t>
            </w:r>
          </w:p>
        </w:tc>
      </w:tr>
      <w:tr>
        <w:tblPrEx>
          <w:tblCellMar>
            <w:top w:w="0" w:type="dxa"/>
            <w:left w:w="0" w:type="dxa"/>
            <w:bottom w:w="0" w:type="dxa"/>
            <w:right w:w="0" w:type="dxa"/>
          </w:tblCellMar>
        </w:tblPrEx>
        <w:trPr>
          <w:trHeight w:val="550" w:hRule="exact"/>
        </w:trPr>
        <w:tc>
          <w:tcPr>
            <w:tcW w:w="992" w:type="dxa"/>
            <w:tcBorders>
              <w:top w:val="single" w:color="000000" w:sz="6" w:space="0"/>
              <w:left w:val="single" w:color="000000" w:sz="6" w:space="0"/>
              <w:bottom w:val="single" w:color="000000" w:sz="6" w:space="0"/>
              <w:right w:val="single" w:color="auto" w:sz="4" w:space="0"/>
            </w:tcBorders>
            <w:noWrap w:val="0"/>
            <w:vAlign w:val="center"/>
          </w:tcPr>
          <w:p>
            <w:pPr>
              <w:spacing w:line="240" w:lineRule="exact"/>
              <w:jc w:val="center"/>
              <w:rPr>
                <w:rFonts w:ascii="宋体" w:hAnsi="宋体" w:cs="宋体"/>
                <w:kern w:val="0"/>
                <w:szCs w:val="21"/>
              </w:rPr>
            </w:pPr>
            <w:r>
              <w:rPr>
                <w:rFonts w:hint="eastAsia" w:ascii="宋体" w:hAnsi="宋体" w:cs="宋体"/>
                <w:kern w:val="0"/>
                <w:szCs w:val="21"/>
              </w:rPr>
              <w:t>2</w:t>
            </w:r>
          </w:p>
        </w:tc>
        <w:tc>
          <w:tcPr>
            <w:tcW w:w="2554" w:type="dxa"/>
            <w:tcBorders>
              <w:top w:val="single" w:color="000000" w:sz="6" w:space="0"/>
              <w:left w:val="single" w:color="auto" w:sz="4" w:space="0"/>
              <w:bottom w:val="single" w:color="000000" w:sz="6" w:space="0"/>
              <w:right w:val="single" w:color="auto" w:sz="4" w:space="0"/>
            </w:tcBorders>
            <w:noWrap w:val="0"/>
            <w:vAlign w:val="center"/>
          </w:tcPr>
          <w:p>
            <w:pPr>
              <w:spacing w:line="240" w:lineRule="exact"/>
              <w:jc w:val="center"/>
              <w:rPr>
                <w:rFonts w:ascii="宋体" w:hAnsi="宋体" w:cs="宋体"/>
                <w:kern w:val="0"/>
                <w:szCs w:val="21"/>
                <w:lang w:eastAsia="en-US"/>
              </w:rPr>
            </w:pPr>
            <w:r>
              <w:rPr>
                <w:rFonts w:hint="eastAsia" w:ascii="宋体" w:hAnsi="宋体" w:cs="宋体"/>
                <w:kern w:val="0"/>
                <w:szCs w:val="21"/>
                <w:lang w:eastAsia="en-US"/>
              </w:rPr>
              <w:t>江门市电子营业执照系统验证前置系统</w:t>
            </w:r>
          </w:p>
        </w:tc>
        <w:tc>
          <w:tcPr>
            <w:tcW w:w="2125" w:type="dxa"/>
            <w:tcBorders>
              <w:top w:val="single" w:color="000000" w:sz="6" w:space="0"/>
              <w:left w:val="single" w:color="auto" w:sz="4" w:space="0"/>
              <w:bottom w:val="single" w:color="000000" w:sz="6" w:space="0"/>
              <w:right w:val="single" w:color="000000" w:sz="6" w:space="0"/>
            </w:tcBorders>
            <w:noWrap w:val="0"/>
            <w:vAlign w:val="center"/>
          </w:tcPr>
          <w:p>
            <w:pPr>
              <w:spacing w:line="240" w:lineRule="exac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二级</w:t>
            </w:r>
          </w:p>
        </w:tc>
        <w:tc>
          <w:tcPr>
            <w:tcW w:w="2125" w:type="dxa"/>
            <w:tcBorders>
              <w:top w:val="single" w:color="000000" w:sz="6" w:space="0"/>
              <w:left w:val="single" w:color="auto" w:sz="4" w:space="0"/>
              <w:bottom w:val="single" w:color="000000" w:sz="6" w:space="0"/>
              <w:right w:val="single" w:color="000000" w:sz="6" w:space="0"/>
            </w:tcBorders>
            <w:noWrap w:val="0"/>
            <w:vAlign w:val="center"/>
          </w:tcPr>
          <w:p>
            <w:pPr>
              <w:spacing w:line="24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等级保护测评</w:t>
            </w:r>
          </w:p>
        </w:tc>
      </w:tr>
      <w:tr>
        <w:tblPrEx>
          <w:tblCellMar>
            <w:top w:w="0" w:type="dxa"/>
            <w:left w:w="0" w:type="dxa"/>
            <w:bottom w:w="0" w:type="dxa"/>
            <w:right w:w="0" w:type="dxa"/>
          </w:tblCellMar>
        </w:tblPrEx>
        <w:trPr>
          <w:trHeight w:val="550" w:hRule="exact"/>
        </w:trPr>
        <w:tc>
          <w:tcPr>
            <w:tcW w:w="992" w:type="dxa"/>
            <w:tcBorders>
              <w:top w:val="single" w:color="000000" w:sz="6" w:space="0"/>
              <w:left w:val="single" w:color="000000" w:sz="6" w:space="0"/>
              <w:bottom w:val="single" w:color="000000" w:sz="6" w:space="0"/>
              <w:right w:val="single" w:color="auto" w:sz="4" w:space="0"/>
            </w:tcBorders>
            <w:noWrap w:val="0"/>
            <w:vAlign w:val="center"/>
          </w:tcPr>
          <w:p>
            <w:pPr>
              <w:spacing w:line="240" w:lineRule="exac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3</w:t>
            </w:r>
          </w:p>
        </w:tc>
        <w:tc>
          <w:tcPr>
            <w:tcW w:w="2554" w:type="dxa"/>
            <w:tcBorders>
              <w:top w:val="single" w:color="000000" w:sz="6" w:space="0"/>
              <w:left w:val="single" w:color="auto" w:sz="4" w:space="0"/>
              <w:bottom w:val="single" w:color="000000" w:sz="6" w:space="0"/>
              <w:right w:val="single" w:color="auto" w:sz="4" w:space="0"/>
            </w:tcBorders>
            <w:noWrap w:val="0"/>
            <w:vAlign w:val="center"/>
          </w:tcPr>
          <w:p>
            <w:pPr>
              <w:spacing w:line="240" w:lineRule="exact"/>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12315热线对接12345服务平台</w:t>
            </w:r>
          </w:p>
        </w:tc>
        <w:tc>
          <w:tcPr>
            <w:tcW w:w="2125" w:type="dxa"/>
            <w:tcBorders>
              <w:top w:val="single" w:color="000000" w:sz="6" w:space="0"/>
              <w:left w:val="single" w:color="auto" w:sz="4" w:space="0"/>
              <w:bottom w:val="single" w:color="000000" w:sz="6" w:space="0"/>
              <w:right w:val="single" w:color="000000" w:sz="6" w:space="0"/>
            </w:tcBorders>
            <w:noWrap w:val="0"/>
            <w:vAlign w:val="center"/>
          </w:tcPr>
          <w:p>
            <w:pPr>
              <w:spacing w:line="24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二级</w:t>
            </w:r>
          </w:p>
        </w:tc>
        <w:tc>
          <w:tcPr>
            <w:tcW w:w="2125" w:type="dxa"/>
            <w:tcBorders>
              <w:top w:val="single" w:color="000000" w:sz="6" w:space="0"/>
              <w:left w:val="single" w:color="auto" w:sz="4" w:space="0"/>
              <w:bottom w:val="single" w:color="000000" w:sz="6" w:space="0"/>
              <w:right w:val="single" w:color="000000" w:sz="6" w:space="0"/>
            </w:tcBorders>
            <w:noWrap w:val="0"/>
            <w:vAlign w:val="center"/>
          </w:tcPr>
          <w:p>
            <w:pPr>
              <w:spacing w:line="24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等级保护测评</w:t>
            </w:r>
          </w:p>
        </w:tc>
      </w:tr>
    </w:tbl>
    <w:p>
      <w:pPr>
        <w:widowControl/>
        <w:jc w:val="left"/>
        <w:rPr>
          <w:rFonts w:ascii="宋体" w:hAnsi="宋体" w:cs="宋体"/>
          <w:color w:val="000000"/>
          <w:kern w:val="0"/>
          <w:sz w:val="24"/>
          <w:lang w:bidi="ar"/>
        </w:rPr>
      </w:pPr>
    </w:p>
    <w:p>
      <w:pPr>
        <w:spacing w:line="360" w:lineRule="auto"/>
        <w:ind w:firstLine="480" w:firstLineChars="200"/>
        <w:jc w:val="left"/>
        <w:rPr>
          <w:rFonts w:ascii="宋体" w:hAnsi="宋体"/>
          <w:sz w:val="24"/>
        </w:rPr>
      </w:pPr>
      <w:r>
        <w:rPr>
          <w:rFonts w:hint="eastAsia" w:ascii="宋体" w:hAnsi="宋体"/>
          <w:sz w:val="24"/>
        </w:rPr>
        <w:t>本项目按照等级保护2.0相关标准的要求：</w:t>
      </w:r>
    </w:p>
    <w:p>
      <w:pPr>
        <w:spacing w:line="360" w:lineRule="auto"/>
        <w:ind w:firstLine="480" w:firstLineChars="200"/>
        <w:jc w:val="left"/>
        <w:rPr>
          <w:rFonts w:ascii="宋体" w:hAnsi="宋体"/>
          <w:sz w:val="24"/>
        </w:rPr>
      </w:pPr>
      <w:r>
        <w:rPr>
          <w:rFonts w:hint="eastAsia" w:ascii="宋体" w:hAnsi="宋体"/>
          <w:sz w:val="24"/>
        </w:rPr>
        <w:t>第一步：测评方协助采购人完成系统定级备案工作；</w:t>
      </w:r>
    </w:p>
    <w:p>
      <w:pPr>
        <w:spacing w:line="360" w:lineRule="auto"/>
        <w:ind w:firstLine="480" w:firstLineChars="200"/>
        <w:jc w:val="left"/>
        <w:rPr>
          <w:rFonts w:ascii="宋体" w:hAnsi="宋体"/>
          <w:sz w:val="24"/>
        </w:rPr>
      </w:pPr>
      <w:r>
        <w:rPr>
          <w:rFonts w:hint="eastAsia" w:ascii="宋体" w:hAnsi="宋体"/>
          <w:sz w:val="24"/>
        </w:rPr>
        <w:t>第二步：测评方对采购人的信息系统进行测试评估、分析差距、输出差距测评报告和安全整改建议；</w:t>
      </w:r>
    </w:p>
    <w:p>
      <w:pPr>
        <w:spacing w:line="360" w:lineRule="auto"/>
        <w:ind w:firstLine="480" w:firstLineChars="200"/>
        <w:jc w:val="left"/>
        <w:rPr>
          <w:rFonts w:ascii="宋体" w:hAnsi="宋体"/>
          <w:sz w:val="24"/>
        </w:rPr>
      </w:pPr>
      <w:r>
        <w:rPr>
          <w:rFonts w:hint="eastAsia" w:ascii="宋体" w:hAnsi="宋体"/>
          <w:sz w:val="24"/>
        </w:rPr>
        <w:t>第三步：采购人根据差距测评报告与安全整改建议实施安全整改；测评方需协助采购人按照等级保护相关标准完善安全管理制度；</w:t>
      </w:r>
    </w:p>
    <w:p>
      <w:pPr>
        <w:spacing w:line="360" w:lineRule="auto"/>
        <w:ind w:firstLine="480" w:firstLineChars="200"/>
        <w:jc w:val="left"/>
        <w:rPr>
          <w:rFonts w:hint="eastAsia" w:ascii="宋体" w:hAnsi="宋体"/>
          <w:sz w:val="24"/>
        </w:rPr>
      </w:pPr>
      <w:r>
        <w:rPr>
          <w:rFonts w:hint="eastAsia" w:ascii="宋体" w:hAnsi="宋体"/>
          <w:sz w:val="24"/>
        </w:rPr>
        <w:t>第四步：测评方再次对采购人的信息系统进行测试评估、输出2.0验收测评报告，并协助用户方通过公安机关的备案与检查。</w:t>
      </w:r>
    </w:p>
    <w:p>
      <w:pPr>
        <w:pStyle w:val="4"/>
        <w:bidi w:val="0"/>
        <w:rPr>
          <w:rFonts w:hint="default"/>
          <w:lang w:val="en-US" w:eastAsia="zh-CN"/>
        </w:rPr>
      </w:pPr>
      <w:r>
        <w:rPr>
          <w:rFonts w:hint="eastAsia"/>
          <w:lang w:val="en-US" w:eastAsia="zh-CN"/>
        </w:rPr>
        <w:t>安全检测内容</w:t>
      </w:r>
    </w:p>
    <w:p>
      <w:pPr>
        <w:spacing w:line="360" w:lineRule="auto"/>
        <w:ind w:firstLine="480" w:firstLineChars="200"/>
        <w:jc w:val="left"/>
        <w:rPr>
          <w:rFonts w:hint="eastAsia" w:ascii="宋体" w:hAnsi="宋体" w:eastAsia="宋体"/>
          <w:sz w:val="24"/>
        </w:rPr>
      </w:pPr>
      <w:r>
        <w:rPr>
          <w:rFonts w:hint="eastAsia" w:ascii="宋体" w:hAnsi="宋体" w:eastAsia="宋体"/>
          <w:sz w:val="24"/>
        </w:rPr>
        <w:t>主要内容：安全检测主要在技术层面对</w:t>
      </w:r>
      <w:r>
        <w:rPr>
          <w:rFonts w:hint="eastAsia" w:ascii="宋体" w:hAnsi="宋体"/>
          <w:sz w:val="24"/>
          <w:lang w:val="en-US" w:eastAsia="zh-CN"/>
        </w:rPr>
        <w:t>6个指定</w:t>
      </w:r>
      <w:r>
        <w:rPr>
          <w:rFonts w:hint="eastAsia" w:ascii="宋体" w:hAnsi="宋体" w:eastAsia="宋体"/>
          <w:sz w:val="24"/>
        </w:rPr>
        <w:t>信息系统进行安全评估。评估内容包括主机安全、应用安全和数据安全等，内容如下：</w:t>
      </w:r>
    </w:p>
    <w:p>
      <w:pPr>
        <w:spacing w:line="360" w:lineRule="auto"/>
        <w:ind w:firstLine="480" w:firstLineChars="200"/>
        <w:jc w:val="left"/>
        <w:rPr>
          <w:rFonts w:hint="eastAsia" w:ascii="宋体" w:hAnsi="宋体" w:eastAsia="宋体"/>
          <w:sz w:val="24"/>
        </w:rPr>
      </w:pPr>
      <w:r>
        <w:rPr>
          <w:rFonts w:hint="eastAsia" w:ascii="宋体" w:hAnsi="宋体" w:eastAsia="宋体"/>
          <w:sz w:val="24"/>
          <w:lang w:val="en-US" w:eastAsia="zh-CN"/>
        </w:rPr>
        <w:t>1.</w:t>
      </w:r>
      <w:r>
        <w:rPr>
          <w:rFonts w:hint="eastAsia" w:ascii="宋体" w:hAnsi="宋体" w:eastAsia="宋体"/>
          <w:sz w:val="24"/>
        </w:rPr>
        <w:t>主机安全：通过人员访谈、配置检查和工具测试的方式评估信息系统的主机安全保障情况，包括：身份鉴别、访问控制、安全审计、入侵防范、恶意代码防范、资源控制、剩余信息保护等内容。</w:t>
      </w:r>
    </w:p>
    <w:p>
      <w:pPr>
        <w:spacing w:line="360" w:lineRule="auto"/>
        <w:ind w:firstLine="480" w:firstLineChars="200"/>
        <w:jc w:val="left"/>
        <w:rPr>
          <w:rFonts w:hint="eastAsia" w:ascii="宋体" w:hAnsi="宋体" w:eastAsia="宋体"/>
          <w:sz w:val="24"/>
        </w:rPr>
      </w:pPr>
      <w:r>
        <w:rPr>
          <w:rFonts w:hint="eastAsia" w:ascii="宋体" w:hAnsi="宋体" w:eastAsia="宋体"/>
          <w:sz w:val="24"/>
          <w:lang w:val="en-US" w:eastAsia="zh-CN"/>
        </w:rPr>
        <w:t>2.</w:t>
      </w:r>
      <w:r>
        <w:rPr>
          <w:rFonts w:hint="eastAsia" w:ascii="宋体" w:hAnsi="宋体" w:eastAsia="宋体"/>
          <w:sz w:val="24"/>
        </w:rPr>
        <w:t>应用安全：通过人员访谈、配置检查和工具测试的方式评估信息系统的应用安全保障情况，包括：身份鉴别、访问控制、安全审计、通信完整性、通信保密性、软件容错、资源控制、剩余信息保护、抗抵赖等内容。</w:t>
      </w:r>
    </w:p>
    <w:p>
      <w:pPr>
        <w:spacing w:line="360" w:lineRule="auto"/>
        <w:ind w:firstLine="480" w:firstLineChars="200"/>
        <w:jc w:val="left"/>
        <w:rPr>
          <w:rFonts w:hint="eastAsia" w:ascii="宋体" w:hAnsi="宋体" w:eastAsia="宋体"/>
          <w:sz w:val="24"/>
        </w:rPr>
      </w:pPr>
      <w:r>
        <w:rPr>
          <w:rFonts w:hint="eastAsia" w:ascii="宋体" w:hAnsi="宋体" w:eastAsia="宋体"/>
          <w:sz w:val="24"/>
          <w:lang w:val="en-US" w:eastAsia="zh-CN"/>
        </w:rPr>
        <w:t>3.</w:t>
      </w:r>
      <w:r>
        <w:rPr>
          <w:rFonts w:hint="eastAsia" w:ascii="宋体" w:hAnsi="宋体" w:eastAsia="宋体"/>
          <w:sz w:val="24"/>
        </w:rPr>
        <w:t>数据安全：通过人员访谈、配置检查的方式测评信息系统的数据安全保障情况，包括：数据完整性、数据保密性、备份和恢复等内容。</w:t>
      </w:r>
    </w:p>
    <w:tbl>
      <w:tblPr>
        <w:tblStyle w:val="14"/>
        <w:tblW w:w="9159" w:type="dxa"/>
        <w:jc w:val="center"/>
        <w:tblLayout w:type="fixed"/>
        <w:tblCellMar>
          <w:top w:w="0" w:type="dxa"/>
          <w:left w:w="108" w:type="dxa"/>
          <w:bottom w:w="0" w:type="dxa"/>
          <w:right w:w="108" w:type="dxa"/>
        </w:tblCellMar>
      </w:tblPr>
      <w:tblGrid>
        <w:gridCol w:w="663"/>
        <w:gridCol w:w="1909"/>
        <w:gridCol w:w="3563"/>
        <w:gridCol w:w="3024"/>
      </w:tblGrid>
      <w:tr>
        <w:tblPrEx>
          <w:tblCellMar>
            <w:top w:w="0" w:type="dxa"/>
            <w:left w:w="108" w:type="dxa"/>
            <w:bottom w:w="0" w:type="dxa"/>
            <w:right w:w="108" w:type="dxa"/>
          </w:tblCellMar>
        </w:tblPrEx>
        <w:trPr>
          <w:trHeight w:val="567"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909"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ascii="宋体" w:hAnsi="宋体" w:cs="宋体"/>
                <w:b/>
                <w:kern w:val="0"/>
                <w:szCs w:val="21"/>
              </w:rPr>
            </w:pPr>
            <w:r>
              <w:rPr>
                <w:rFonts w:hint="eastAsia" w:ascii="宋体" w:hAnsi="宋体" w:cs="宋体"/>
                <w:b/>
                <w:kern w:val="0"/>
                <w:szCs w:val="21"/>
              </w:rPr>
              <w:t>建设内容</w:t>
            </w:r>
          </w:p>
        </w:tc>
        <w:tc>
          <w:tcPr>
            <w:tcW w:w="3563"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ascii="宋体" w:hAnsi="宋体" w:cs="宋体"/>
                <w:b/>
                <w:kern w:val="0"/>
                <w:szCs w:val="21"/>
              </w:rPr>
            </w:pPr>
            <w:r>
              <w:rPr>
                <w:rFonts w:hint="eastAsia" w:ascii="宋体" w:hAnsi="宋体" w:cs="宋体"/>
                <w:b/>
                <w:kern w:val="0"/>
                <w:szCs w:val="21"/>
              </w:rPr>
              <w:t>说明</w:t>
            </w:r>
          </w:p>
        </w:tc>
        <w:tc>
          <w:tcPr>
            <w:tcW w:w="3024"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ascii="宋体" w:hAnsi="宋体" w:cs="宋体"/>
                <w:b/>
                <w:kern w:val="0"/>
                <w:szCs w:val="21"/>
              </w:rPr>
            </w:pPr>
            <w:r>
              <w:rPr>
                <w:rFonts w:hint="eastAsia" w:ascii="宋体" w:hAnsi="宋体" w:cs="宋体"/>
                <w:b/>
                <w:kern w:val="0"/>
                <w:szCs w:val="21"/>
              </w:rPr>
              <w:t>备注</w:t>
            </w:r>
          </w:p>
        </w:tc>
      </w:tr>
      <w:tr>
        <w:tblPrEx>
          <w:tblCellMar>
            <w:top w:w="0" w:type="dxa"/>
            <w:left w:w="108" w:type="dxa"/>
            <w:bottom w:w="0" w:type="dxa"/>
            <w:right w:w="108" w:type="dxa"/>
          </w:tblCellMar>
        </w:tblPrEx>
        <w:trPr>
          <w:trHeight w:val="567"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仿宋"/>
                <w:kern w:val="0"/>
                <w:szCs w:val="21"/>
              </w:rPr>
            </w:pPr>
            <w:r>
              <w:rPr>
                <w:rFonts w:hint="eastAsia" w:ascii="宋体" w:hAnsi="宋体" w:cs="仿宋"/>
                <w:kern w:val="0"/>
                <w:szCs w:val="21"/>
              </w:rPr>
              <w:t>1</w:t>
            </w:r>
          </w:p>
        </w:tc>
        <w:tc>
          <w:tcPr>
            <w:tcW w:w="1909"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仿宋"/>
                <w:kern w:val="0"/>
                <w:szCs w:val="21"/>
              </w:rPr>
            </w:pPr>
            <w:r>
              <w:rPr>
                <w:rFonts w:hint="eastAsia" w:ascii="宋体" w:hAnsi="宋体" w:cs="仿宋"/>
                <w:kern w:val="0"/>
                <w:szCs w:val="21"/>
              </w:rPr>
              <w:t>信息系统安全检测服务</w:t>
            </w:r>
          </w:p>
        </w:tc>
        <w:tc>
          <w:tcPr>
            <w:tcW w:w="3563"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仿宋"/>
                <w:kern w:val="0"/>
                <w:szCs w:val="21"/>
              </w:rPr>
            </w:pPr>
            <w:r>
              <w:rPr>
                <w:rFonts w:hint="eastAsia" w:ascii="宋体" w:hAnsi="宋体" w:cs="仿宋"/>
                <w:kern w:val="0"/>
                <w:szCs w:val="21"/>
              </w:rPr>
              <w:t>江门市</w:t>
            </w:r>
            <w:r>
              <w:rPr>
                <w:rFonts w:hint="eastAsia" w:ascii="宋体" w:hAnsi="宋体" w:cs="仿宋"/>
                <w:kern w:val="0"/>
                <w:szCs w:val="21"/>
                <w:lang w:val="en-US" w:eastAsia="zh-CN"/>
              </w:rPr>
              <w:t>市场监督管理局6</w:t>
            </w:r>
            <w:r>
              <w:rPr>
                <w:rFonts w:hint="eastAsia" w:ascii="宋体" w:hAnsi="宋体" w:cs="仿宋"/>
                <w:kern w:val="0"/>
                <w:szCs w:val="21"/>
              </w:rPr>
              <w:t>个政务信息化系统进行安全检测。</w:t>
            </w:r>
          </w:p>
        </w:tc>
        <w:tc>
          <w:tcPr>
            <w:tcW w:w="3024"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仿宋"/>
                <w:kern w:val="0"/>
                <w:szCs w:val="21"/>
              </w:rPr>
            </w:pPr>
            <w:r>
              <w:rPr>
                <w:rFonts w:hint="eastAsia" w:ascii="宋体" w:hAnsi="宋体" w:cs="仿宋"/>
                <w:kern w:val="0"/>
                <w:szCs w:val="21"/>
                <w:lang w:val="en-US" w:eastAsia="zh-CN"/>
              </w:rPr>
              <w:t>6</w:t>
            </w:r>
            <w:r>
              <w:rPr>
                <w:rFonts w:hint="eastAsia" w:ascii="宋体" w:hAnsi="宋体" w:cs="仿宋"/>
                <w:kern w:val="0"/>
                <w:szCs w:val="21"/>
              </w:rPr>
              <w:t>个信息系统</w:t>
            </w:r>
            <w:r>
              <w:rPr>
                <w:rFonts w:hint="eastAsia" w:ascii="宋体" w:hAnsi="宋体" w:cs="仿宋"/>
                <w:kern w:val="0"/>
                <w:szCs w:val="21"/>
                <w:lang w:val="en-US" w:eastAsia="zh-CN"/>
              </w:rPr>
              <w:t>安全检测</w:t>
            </w:r>
            <w:r>
              <w:rPr>
                <w:rFonts w:hint="eastAsia" w:ascii="宋体" w:hAnsi="宋体" w:cs="仿宋"/>
                <w:kern w:val="0"/>
                <w:szCs w:val="21"/>
              </w:rPr>
              <w:t>内容包括：主机漏洞漏扫、应用系统渗透测试，并提供测评报告。</w:t>
            </w:r>
          </w:p>
        </w:tc>
      </w:tr>
    </w:tbl>
    <w:p>
      <w:pPr>
        <w:rPr>
          <w:rFonts w:hint="default"/>
          <w:lang w:val="en-US" w:eastAsia="zh-CN"/>
        </w:rPr>
      </w:pPr>
    </w:p>
    <w:p>
      <w:pPr>
        <w:pStyle w:val="4"/>
        <w:bidi w:val="0"/>
      </w:pPr>
      <w:r>
        <w:rPr>
          <w:rFonts w:hint="eastAsia"/>
        </w:rPr>
        <w:t>测评原则</w:t>
      </w:r>
    </w:p>
    <w:p>
      <w:pPr>
        <w:widowControl/>
        <w:spacing w:line="360" w:lineRule="auto"/>
        <w:ind w:firstLine="470" w:firstLineChars="196"/>
        <w:rPr>
          <w:rFonts w:ascii="宋体" w:hAnsi="宋体"/>
          <w:kern w:val="0"/>
          <w:sz w:val="24"/>
        </w:rPr>
      </w:pPr>
      <w:r>
        <w:rPr>
          <w:rFonts w:hint="eastAsia" w:ascii="宋体" w:hAnsi="宋体"/>
          <w:kern w:val="0"/>
          <w:sz w:val="24"/>
        </w:rPr>
        <w:t>项目的方案设计与实施应满足以下原则：</w:t>
      </w:r>
    </w:p>
    <w:p>
      <w:pPr>
        <w:widowControl/>
        <w:spacing w:line="360" w:lineRule="auto"/>
        <w:ind w:firstLine="480" w:firstLineChars="200"/>
        <w:rPr>
          <w:rFonts w:ascii="宋体" w:hAnsi="宋体"/>
          <w:kern w:val="0"/>
          <w:sz w:val="24"/>
        </w:rPr>
      </w:pPr>
      <w:r>
        <w:rPr>
          <w:rFonts w:hint="eastAsia" w:ascii="宋体" w:hAnsi="宋体"/>
          <w:kern w:val="0"/>
          <w:sz w:val="24"/>
        </w:rPr>
        <w:t>符合性原则：应符合国家信息安全等级保护制度及相关法律法规。</w:t>
      </w:r>
    </w:p>
    <w:p>
      <w:pPr>
        <w:widowControl/>
        <w:spacing w:line="360" w:lineRule="auto"/>
        <w:ind w:firstLine="480" w:firstLineChars="200"/>
        <w:rPr>
          <w:rFonts w:ascii="宋体" w:hAnsi="宋体"/>
          <w:kern w:val="0"/>
          <w:sz w:val="24"/>
        </w:rPr>
      </w:pPr>
      <w:r>
        <w:rPr>
          <w:rFonts w:hint="eastAsia" w:ascii="宋体" w:hAnsi="宋体"/>
          <w:kern w:val="0"/>
          <w:sz w:val="24"/>
        </w:rPr>
        <w:t>标准性原则：方案设计、实施与信息安全体系的构建应依据国内、国际的相关标准进行。</w:t>
      </w:r>
    </w:p>
    <w:p>
      <w:pPr>
        <w:widowControl/>
        <w:spacing w:line="360" w:lineRule="auto"/>
        <w:ind w:firstLine="480" w:firstLineChars="200"/>
        <w:rPr>
          <w:rFonts w:ascii="宋体" w:hAnsi="宋体"/>
          <w:kern w:val="0"/>
          <w:sz w:val="24"/>
        </w:rPr>
      </w:pPr>
      <w:r>
        <w:rPr>
          <w:rFonts w:hint="eastAsia" w:ascii="宋体" w:hAnsi="宋体"/>
          <w:kern w:val="0"/>
          <w:sz w:val="24"/>
        </w:rPr>
        <w:t>规范性原则：项目实施应由专业的等级保护测评师依照规范的操作流程进行，在实施之前将详细量化出每项测评内容，对操作过程和结果提供规范的记录，以便于项目的跟踪和控制。</w:t>
      </w:r>
    </w:p>
    <w:p>
      <w:pPr>
        <w:widowControl/>
        <w:spacing w:line="360" w:lineRule="auto"/>
        <w:ind w:firstLine="480" w:firstLineChars="200"/>
        <w:rPr>
          <w:rFonts w:ascii="宋体" w:hAnsi="宋体"/>
          <w:kern w:val="0"/>
          <w:sz w:val="24"/>
        </w:rPr>
      </w:pPr>
      <w:r>
        <w:rPr>
          <w:rFonts w:hint="eastAsia" w:ascii="宋体" w:hAnsi="宋体"/>
          <w:kern w:val="0"/>
          <w:sz w:val="24"/>
        </w:rPr>
        <w:t>可控性原则：项目实施的方法和过程要在双方认可的范围之内，实施进度要按照进度表进度的安排，保证项目实施的可控性。</w:t>
      </w:r>
    </w:p>
    <w:p>
      <w:pPr>
        <w:widowControl/>
        <w:spacing w:line="360" w:lineRule="auto"/>
        <w:ind w:firstLine="480" w:firstLineChars="200"/>
        <w:rPr>
          <w:rFonts w:ascii="宋体" w:hAnsi="宋体"/>
          <w:kern w:val="0"/>
          <w:sz w:val="24"/>
        </w:rPr>
      </w:pPr>
      <w:r>
        <w:rPr>
          <w:rFonts w:hint="eastAsia" w:ascii="宋体" w:hAnsi="宋体"/>
          <w:kern w:val="0"/>
          <w:sz w:val="24"/>
        </w:rPr>
        <w:t>整体性原则：等级保护测评与安全体系设计的范围和内容应当整体全面，包括安全涉及的各个层面，避免由于遗漏造成未来的安全隐患。</w:t>
      </w:r>
    </w:p>
    <w:p>
      <w:pPr>
        <w:widowControl/>
        <w:spacing w:line="360" w:lineRule="auto"/>
        <w:ind w:firstLine="480" w:firstLineChars="200"/>
        <w:rPr>
          <w:rFonts w:ascii="宋体" w:hAnsi="宋体"/>
          <w:kern w:val="0"/>
          <w:sz w:val="24"/>
        </w:rPr>
      </w:pPr>
      <w:r>
        <w:rPr>
          <w:rFonts w:hint="eastAsia" w:ascii="宋体" w:hAnsi="宋体"/>
          <w:kern w:val="0"/>
          <w:sz w:val="24"/>
        </w:rPr>
        <w:t>最小影响原则：项目实施工作应尽可能小的影响网络和信息系统的正常运行，不能对信息系统的运行和业务的正常提供产生显著影响。</w:t>
      </w:r>
    </w:p>
    <w:p>
      <w:pPr>
        <w:widowControl/>
        <w:spacing w:line="360" w:lineRule="auto"/>
        <w:ind w:firstLine="480" w:firstLineChars="200"/>
        <w:rPr>
          <w:rFonts w:ascii="宋体" w:hAnsi="宋体"/>
          <w:kern w:val="0"/>
          <w:sz w:val="24"/>
        </w:rPr>
      </w:pPr>
      <w:r>
        <w:rPr>
          <w:rFonts w:hint="eastAsia" w:ascii="宋体" w:hAnsi="宋体"/>
          <w:kern w:val="0"/>
          <w:sz w:val="24"/>
        </w:rPr>
        <w:t>保密原则：对项目实施过程获得的数据和结果严格保密，未经授权不得泄露给任何单位和个人，不得利用此数据和结果进行任何侵害客户利益的行为。</w:t>
      </w:r>
    </w:p>
    <w:p>
      <w:pPr>
        <w:widowControl/>
        <w:spacing w:line="360" w:lineRule="auto"/>
        <w:ind w:firstLine="470" w:firstLineChars="196"/>
        <w:rPr>
          <w:rFonts w:ascii="宋体" w:hAnsi="宋体"/>
          <w:kern w:val="0"/>
          <w:sz w:val="24"/>
        </w:rPr>
      </w:pPr>
      <w:r>
        <w:rPr>
          <w:rFonts w:hint="eastAsia" w:ascii="宋体" w:hAnsi="宋体"/>
          <w:kern w:val="0"/>
          <w:sz w:val="24"/>
        </w:rPr>
        <w:t>同时，在等级保护测评实施的过程中遵循以下原则：</w:t>
      </w:r>
    </w:p>
    <w:p>
      <w:pPr>
        <w:widowControl/>
        <w:spacing w:line="360" w:lineRule="auto"/>
        <w:ind w:firstLine="480" w:firstLineChars="200"/>
        <w:rPr>
          <w:rFonts w:ascii="宋体" w:hAnsi="宋体"/>
          <w:sz w:val="24"/>
        </w:rPr>
      </w:pPr>
      <w:bookmarkStart w:id="0" w:name="_Toc266368593"/>
      <w:bookmarkStart w:id="1" w:name="_Toc237920121"/>
      <w:r>
        <w:rPr>
          <w:rFonts w:hint="eastAsia" w:ascii="宋体" w:hAnsi="宋体"/>
          <w:kern w:val="0"/>
          <w:sz w:val="24"/>
        </w:rPr>
        <w:t>客观性和公正性原则</w:t>
      </w:r>
      <w:bookmarkEnd w:id="0"/>
      <w:bookmarkEnd w:id="1"/>
      <w:r>
        <w:rPr>
          <w:rFonts w:hint="eastAsia" w:ascii="宋体" w:hAnsi="宋体"/>
          <w:kern w:val="0"/>
          <w:sz w:val="24"/>
        </w:rPr>
        <w:t>：</w:t>
      </w:r>
      <w:r>
        <w:rPr>
          <w:rFonts w:hint="eastAsia" w:ascii="宋体" w:hAnsi="宋体"/>
          <w:sz w:val="24"/>
        </w:rPr>
        <w:t>虽然测评工作不能完全摆脱个人主张或判断，但测评人员应当没有偏见，在最小主观判断情形下，按照测评双方相互认可的测评方案，基于明确定义的测评方式和解释，实施测评活动。</w:t>
      </w:r>
      <w:bookmarkStart w:id="2" w:name="_Toc237920122"/>
      <w:bookmarkStart w:id="3" w:name="_Toc266368594"/>
    </w:p>
    <w:p>
      <w:pPr>
        <w:widowControl/>
        <w:spacing w:line="360" w:lineRule="auto"/>
        <w:ind w:firstLine="480" w:firstLineChars="200"/>
        <w:rPr>
          <w:rFonts w:ascii="宋体" w:hAnsi="宋体"/>
          <w:sz w:val="24"/>
        </w:rPr>
      </w:pPr>
      <w:r>
        <w:rPr>
          <w:rFonts w:hint="eastAsia" w:ascii="宋体" w:hAnsi="宋体"/>
          <w:sz w:val="24"/>
        </w:rPr>
        <w:t>经济性和可重用性原则</w:t>
      </w:r>
      <w:bookmarkEnd w:id="2"/>
      <w:bookmarkEnd w:id="3"/>
      <w:r>
        <w:rPr>
          <w:rFonts w:hint="eastAsia" w:ascii="宋体" w:hAnsi="宋体"/>
          <w:sz w:val="24"/>
        </w:rPr>
        <w:t>：基于测评成本和工作复杂性考虑，鼓励测评工作重用以前的测评结果，包括商业安全产品测评结果和信息系统先前的安全测评结果。所有重用的结果，都应基于结果适用于目前的系统，并且能够反映出目前系统的安全状态基础之上。</w:t>
      </w:r>
      <w:bookmarkStart w:id="4" w:name="_Toc237920123"/>
      <w:bookmarkStart w:id="5" w:name="_Toc266368595"/>
    </w:p>
    <w:p>
      <w:pPr>
        <w:widowControl/>
        <w:spacing w:line="360" w:lineRule="auto"/>
        <w:ind w:firstLine="480" w:firstLineChars="200"/>
        <w:rPr>
          <w:rFonts w:ascii="宋体" w:hAnsi="宋体"/>
          <w:sz w:val="24"/>
        </w:rPr>
      </w:pPr>
      <w:r>
        <w:rPr>
          <w:rFonts w:hint="eastAsia" w:ascii="宋体" w:hAnsi="宋体"/>
          <w:sz w:val="24"/>
        </w:rPr>
        <w:t>可重复性和可再现性原则</w:t>
      </w:r>
      <w:bookmarkEnd w:id="4"/>
      <w:bookmarkEnd w:id="5"/>
      <w:r>
        <w:rPr>
          <w:rFonts w:hint="eastAsia" w:ascii="宋体" w:hAnsi="宋体"/>
          <w:sz w:val="24"/>
        </w:rPr>
        <w:t>：不论谁执行测评，依照同样的要求，使用同样的测评方式，对每个测评实施过程的重复执行应该得到同样的结果。前者与不同测评者测评结果的一致性有关，后者与同一测评者测评结果的一致性有关。</w:t>
      </w:r>
      <w:bookmarkStart w:id="6" w:name="_Toc237920124"/>
      <w:bookmarkStart w:id="7" w:name="_Toc266368596"/>
    </w:p>
    <w:p>
      <w:pPr>
        <w:widowControl/>
        <w:spacing w:line="360" w:lineRule="auto"/>
        <w:ind w:firstLine="480" w:firstLineChars="200"/>
        <w:rPr>
          <w:rFonts w:ascii="宋体" w:hAnsi="宋体"/>
          <w:sz w:val="24"/>
        </w:rPr>
      </w:pPr>
      <w:r>
        <w:rPr>
          <w:rFonts w:hint="eastAsia" w:ascii="宋体" w:hAnsi="宋体"/>
          <w:sz w:val="24"/>
        </w:rPr>
        <w:t>结果完善性原则</w:t>
      </w:r>
      <w:bookmarkEnd w:id="6"/>
      <w:bookmarkEnd w:id="7"/>
      <w:r>
        <w:rPr>
          <w:rFonts w:hint="eastAsia" w:ascii="宋体" w:hAnsi="宋体"/>
          <w:sz w:val="24"/>
        </w:rPr>
        <w:t>：测评所产生的结果应当证明是良好的判断和对测评项的正确理解。测评过程和结果应当服从正确的测评方法以确保其满足了测评项的要求。</w:t>
      </w:r>
    </w:p>
    <w:p>
      <w:pPr>
        <w:pStyle w:val="4"/>
        <w:bidi w:val="0"/>
      </w:pPr>
      <w:r>
        <w:rPr>
          <w:rFonts w:hint="eastAsia"/>
        </w:rPr>
        <w:t>测评依据</w:t>
      </w:r>
    </w:p>
    <w:p>
      <w:pPr>
        <w:spacing w:line="360" w:lineRule="auto"/>
        <w:ind w:firstLine="480" w:firstLineChars="200"/>
        <w:jc w:val="left"/>
        <w:rPr>
          <w:rFonts w:ascii="宋体" w:hAnsi="宋体"/>
          <w:sz w:val="24"/>
        </w:rPr>
      </w:pPr>
      <w:r>
        <w:rPr>
          <w:rFonts w:hint="eastAsia" w:ascii="宋体" w:hAnsi="宋体"/>
          <w:sz w:val="24"/>
        </w:rPr>
        <w:t>信息系统等级保护测评依据《</w:t>
      </w:r>
      <w:r>
        <w:rPr>
          <w:rFonts w:hint="eastAsia" w:ascii="宋体" w:hAnsi="宋体" w:eastAsia="宋体"/>
          <w:sz w:val="24"/>
          <w:szCs w:val="24"/>
        </w:rPr>
        <w:t>信息</w:t>
      </w:r>
      <w:r>
        <w:rPr>
          <w:rFonts w:ascii="宋体" w:hAnsi="宋体" w:eastAsia="宋体"/>
          <w:sz w:val="24"/>
          <w:szCs w:val="24"/>
        </w:rPr>
        <w:t>安全技术</w:t>
      </w:r>
      <w:r>
        <w:rPr>
          <w:rFonts w:hint="eastAsia" w:ascii="宋体" w:hAnsi="宋体" w:eastAsia="宋体"/>
          <w:sz w:val="24"/>
          <w:szCs w:val="24"/>
        </w:rPr>
        <w:t xml:space="preserve"> 网络安全等级保护基本要求</w:t>
      </w:r>
      <w:r>
        <w:rPr>
          <w:rFonts w:hint="eastAsia" w:ascii="宋体" w:hAnsi="宋体"/>
          <w:sz w:val="24"/>
        </w:rPr>
        <w:t>》、《</w:t>
      </w:r>
      <w:r>
        <w:rPr>
          <w:rFonts w:hint="eastAsia" w:ascii="宋体" w:hAnsi="宋体" w:eastAsia="宋体"/>
          <w:sz w:val="24"/>
          <w:szCs w:val="24"/>
        </w:rPr>
        <w:t>信息</w:t>
      </w:r>
      <w:r>
        <w:rPr>
          <w:rFonts w:ascii="宋体" w:hAnsi="宋体" w:eastAsia="宋体"/>
          <w:sz w:val="24"/>
          <w:szCs w:val="24"/>
        </w:rPr>
        <w:t>安全技术</w:t>
      </w:r>
      <w:r>
        <w:rPr>
          <w:rFonts w:hint="eastAsia" w:ascii="宋体" w:hAnsi="宋体" w:eastAsia="宋体"/>
          <w:sz w:val="24"/>
          <w:szCs w:val="24"/>
        </w:rPr>
        <w:t xml:space="preserve"> 网络安全等级保护测评要求</w:t>
      </w:r>
      <w:r>
        <w:rPr>
          <w:rFonts w:hint="eastAsia" w:ascii="宋体" w:hAnsi="宋体"/>
          <w:sz w:val="24"/>
        </w:rPr>
        <w:t>》，在对信息系统进行安全技术和安全管理的安全控制测评及系统整体测评结果基础上，针对相应等级信息系统遵循的标准进行综合性测评，提出相应的安全评审意见。</w:t>
      </w:r>
    </w:p>
    <w:p>
      <w:pPr>
        <w:spacing w:line="360" w:lineRule="auto"/>
        <w:ind w:firstLine="480" w:firstLineChars="200"/>
        <w:jc w:val="left"/>
        <w:rPr>
          <w:rFonts w:ascii="宋体" w:hAnsi="宋体"/>
          <w:sz w:val="24"/>
        </w:rPr>
      </w:pPr>
      <w:r>
        <w:rPr>
          <w:rFonts w:hint="eastAsia" w:ascii="宋体" w:hAnsi="宋体"/>
          <w:sz w:val="24"/>
        </w:rPr>
        <w:t>主要参考标准如下：</w:t>
      </w:r>
    </w:p>
    <w:p>
      <w:pPr>
        <w:bidi w:val="0"/>
        <w:rPr>
          <w:b/>
          <w:bCs/>
        </w:rPr>
      </w:pPr>
      <w:r>
        <w:rPr>
          <w:rFonts w:hint="eastAsia"/>
          <w:b/>
          <w:bCs/>
        </w:rPr>
        <w:t>法律依据</w:t>
      </w:r>
    </w:p>
    <w:p>
      <w:pPr>
        <w:adjustRightInd w:val="0"/>
        <w:snapToGrid w:val="0"/>
        <w:spacing w:before="156" w:beforeLines="50" w:after="156" w:afterLines="50" w:line="276" w:lineRule="auto"/>
        <w:ind w:firstLine="480" w:firstLineChars="200"/>
        <w:rPr>
          <w:rFonts w:ascii="宋体" w:hAnsi="宋体" w:eastAsia="宋体"/>
          <w:sz w:val="24"/>
          <w:szCs w:val="24"/>
        </w:rPr>
      </w:pPr>
      <w:r>
        <w:rPr>
          <w:rFonts w:hint="eastAsia" w:ascii="宋体" w:hAnsi="宋体" w:eastAsia="宋体"/>
          <w:sz w:val="24"/>
          <w:szCs w:val="24"/>
        </w:rPr>
        <w:t>1、《中华人民共和国网络安全法》</w:t>
      </w:r>
    </w:p>
    <w:p>
      <w:pPr>
        <w:adjustRightInd w:val="0"/>
        <w:snapToGrid w:val="0"/>
        <w:spacing w:before="156" w:beforeLines="50" w:after="156" w:afterLines="50" w:line="276" w:lineRule="auto"/>
        <w:ind w:firstLine="480" w:firstLineChars="200"/>
        <w:rPr>
          <w:rFonts w:hint="eastAsia" w:ascii="宋体" w:hAnsi="宋体" w:eastAsia="宋体"/>
          <w:sz w:val="24"/>
          <w:szCs w:val="24"/>
        </w:rPr>
      </w:pPr>
      <w:r>
        <w:rPr>
          <w:rFonts w:hint="eastAsia" w:ascii="宋体" w:hAnsi="宋体" w:eastAsia="宋体"/>
          <w:sz w:val="24"/>
          <w:szCs w:val="24"/>
        </w:rPr>
        <w:t>2、《中华人民共和国计算机信息系统安全保护条例》（国务院147号令）</w:t>
      </w:r>
    </w:p>
    <w:p>
      <w:pPr>
        <w:bidi w:val="0"/>
        <w:rPr>
          <w:rFonts w:hint="eastAsia" w:cs="Times New Roman"/>
          <w:b/>
          <w:bCs/>
        </w:rPr>
      </w:pPr>
      <w:r>
        <w:rPr>
          <w:rFonts w:hint="eastAsia" w:cs="Times New Roman"/>
          <w:b/>
          <w:bCs/>
        </w:rPr>
        <w:t>法规要求</w:t>
      </w:r>
    </w:p>
    <w:p>
      <w:pPr>
        <w:adjustRightInd w:val="0"/>
        <w:snapToGrid w:val="0"/>
        <w:spacing w:before="156" w:beforeLines="50" w:after="156" w:afterLines="50" w:line="276" w:lineRule="auto"/>
        <w:ind w:firstLine="480" w:firstLineChars="200"/>
        <w:rPr>
          <w:rFonts w:hint="eastAsia" w:ascii="宋体" w:hAnsi="宋体" w:eastAsia="宋体"/>
          <w:sz w:val="24"/>
          <w:szCs w:val="24"/>
        </w:rPr>
      </w:pPr>
      <w:r>
        <w:rPr>
          <w:rFonts w:hint="eastAsia" w:ascii="宋体" w:hAnsi="宋体" w:eastAsia="宋体"/>
          <w:sz w:val="24"/>
          <w:szCs w:val="24"/>
        </w:rPr>
        <w:t>1、《信息安全等级保护管理办法》（公通字[2007]43号）</w:t>
      </w:r>
    </w:p>
    <w:p>
      <w:pPr>
        <w:adjustRightInd w:val="0"/>
        <w:snapToGrid w:val="0"/>
        <w:spacing w:before="156" w:beforeLines="50" w:after="156" w:afterLines="50" w:line="276" w:lineRule="auto"/>
        <w:ind w:firstLine="480" w:firstLineChars="200"/>
        <w:rPr>
          <w:rFonts w:hint="eastAsia" w:ascii="宋体" w:hAnsi="宋体" w:eastAsia="宋体"/>
          <w:sz w:val="24"/>
          <w:szCs w:val="24"/>
        </w:rPr>
      </w:pPr>
      <w:r>
        <w:rPr>
          <w:rFonts w:hint="eastAsia" w:ascii="宋体" w:hAnsi="宋体" w:eastAsia="宋体"/>
          <w:sz w:val="24"/>
          <w:szCs w:val="24"/>
        </w:rPr>
        <w:t>2、《网络安全等级保护条例》（征求意见稿）</w:t>
      </w:r>
    </w:p>
    <w:p>
      <w:pPr>
        <w:bidi w:val="0"/>
        <w:rPr>
          <w:rFonts w:hint="eastAsia" w:cs="Times New Roman"/>
          <w:b/>
          <w:bCs/>
        </w:rPr>
      </w:pPr>
      <w:r>
        <w:rPr>
          <w:rFonts w:hint="eastAsia" w:cs="Times New Roman"/>
          <w:b/>
          <w:bCs/>
        </w:rPr>
        <w:t>遵循的主要标准</w:t>
      </w:r>
    </w:p>
    <w:p>
      <w:pPr>
        <w:adjustRightInd w:val="0"/>
        <w:snapToGrid w:val="0"/>
        <w:spacing w:before="156" w:beforeLines="50" w:after="156" w:afterLines="50" w:line="276" w:lineRule="auto"/>
        <w:ind w:firstLine="480" w:firstLineChars="200"/>
        <w:rPr>
          <w:rFonts w:ascii="宋体" w:hAnsi="宋体" w:eastAsia="宋体"/>
          <w:sz w:val="24"/>
          <w:szCs w:val="24"/>
        </w:rPr>
      </w:pPr>
      <w:r>
        <w:rPr>
          <w:rFonts w:hint="eastAsia" w:ascii="宋体" w:hAnsi="宋体" w:eastAsia="宋体"/>
          <w:sz w:val="24"/>
          <w:szCs w:val="24"/>
        </w:rPr>
        <w:t>1、《信息</w:t>
      </w:r>
      <w:r>
        <w:rPr>
          <w:rFonts w:ascii="宋体" w:hAnsi="宋体" w:eastAsia="宋体"/>
          <w:sz w:val="24"/>
          <w:szCs w:val="24"/>
        </w:rPr>
        <w:t>安全技术</w:t>
      </w:r>
      <w:r>
        <w:rPr>
          <w:rFonts w:hint="eastAsia" w:ascii="宋体" w:hAnsi="宋体" w:eastAsia="宋体"/>
          <w:sz w:val="24"/>
          <w:szCs w:val="24"/>
        </w:rPr>
        <w:t xml:space="preserve"> 网络安全等级保护定级指南》</w:t>
      </w:r>
    </w:p>
    <w:p>
      <w:pPr>
        <w:adjustRightInd w:val="0"/>
        <w:snapToGrid w:val="0"/>
        <w:spacing w:before="156" w:beforeLines="50" w:after="156" w:afterLines="50" w:line="276" w:lineRule="auto"/>
        <w:ind w:firstLine="480" w:firstLineChars="200"/>
        <w:rPr>
          <w:rFonts w:ascii="宋体" w:hAnsi="宋体" w:eastAsia="宋体"/>
          <w:sz w:val="24"/>
          <w:szCs w:val="24"/>
        </w:rPr>
      </w:pPr>
      <w:r>
        <w:rPr>
          <w:rFonts w:hint="eastAsia" w:ascii="宋体" w:hAnsi="宋体" w:eastAsia="宋体"/>
          <w:sz w:val="24"/>
          <w:szCs w:val="24"/>
        </w:rPr>
        <w:t>2、《信息</w:t>
      </w:r>
      <w:r>
        <w:rPr>
          <w:rFonts w:ascii="宋体" w:hAnsi="宋体" w:eastAsia="宋体"/>
          <w:sz w:val="24"/>
          <w:szCs w:val="24"/>
        </w:rPr>
        <w:t>安全技术</w:t>
      </w:r>
      <w:r>
        <w:rPr>
          <w:rFonts w:hint="eastAsia" w:ascii="宋体" w:hAnsi="宋体" w:eastAsia="宋体"/>
          <w:sz w:val="24"/>
          <w:szCs w:val="24"/>
        </w:rPr>
        <w:t xml:space="preserve"> 网络安全等级保护基本要求》</w:t>
      </w:r>
    </w:p>
    <w:p>
      <w:pPr>
        <w:adjustRightInd w:val="0"/>
        <w:snapToGrid w:val="0"/>
        <w:spacing w:before="156" w:beforeLines="50" w:after="156" w:afterLines="50" w:line="276" w:lineRule="auto"/>
        <w:ind w:firstLine="480" w:firstLineChars="200"/>
        <w:rPr>
          <w:rFonts w:hint="eastAsia" w:ascii="宋体" w:hAnsi="宋体" w:eastAsia="宋体"/>
          <w:sz w:val="24"/>
          <w:szCs w:val="24"/>
        </w:rPr>
      </w:pPr>
      <w:r>
        <w:rPr>
          <w:rFonts w:hint="eastAsia" w:ascii="宋体" w:hAnsi="宋体" w:eastAsia="宋体"/>
          <w:sz w:val="24"/>
          <w:szCs w:val="24"/>
        </w:rPr>
        <w:t>3、《信息</w:t>
      </w:r>
      <w:r>
        <w:rPr>
          <w:rFonts w:ascii="宋体" w:hAnsi="宋体" w:eastAsia="宋体"/>
          <w:sz w:val="24"/>
          <w:szCs w:val="24"/>
        </w:rPr>
        <w:t>安全技术</w:t>
      </w:r>
      <w:r>
        <w:rPr>
          <w:rFonts w:hint="eastAsia" w:ascii="宋体" w:hAnsi="宋体" w:eastAsia="宋体"/>
          <w:sz w:val="24"/>
          <w:szCs w:val="24"/>
        </w:rPr>
        <w:t xml:space="preserve"> 网络安全等级保护测评要求》</w:t>
      </w:r>
    </w:p>
    <w:p>
      <w:pPr>
        <w:adjustRightInd w:val="0"/>
        <w:snapToGrid w:val="0"/>
        <w:spacing w:before="156" w:beforeLines="50" w:after="156" w:afterLines="50" w:line="276" w:lineRule="auto"/>
        <w:ind w:firstLine="480" w:firstLineChars="200"/>
        <w:rPr>
          <w:rFonts w:hint="eastAsia" w:ascii="宋体" w:hAnsi="宋体" w:eastAsia="宋体"/>
          <w:sz w:val="24"/>
          <w:szCs w:val="24"/>
        </w:rPr>
      </w:pPr>
      <w:r>
        <w:rPr>
          <w:rFonts w:hint="eastAsia" w:ascii="宋体" w:hAnsi="宋体" w:eastAsia="宋体"/>
          <w:sz w:val="24"/>
          <w:szCs w:val="24"/>
        </w:rPr>
        <w:t>4、《信息安全技术 网络安全等级保护安全设计技术要求》</w:t>
      </w:r>
    </w:p>
    <w:p>
      <w:pPr>
        <w:adjustRightInd w:val="0"/>
        <w:snapToGrid w:val="0"/>
        <w:spacing w:before="156" w:beforeLines="50" w:after="156" w:afterLines="50" w:line="276" w:lineRule="auto"/>
        <w:ind w:firstLine="480" w:firstLineChars="200"/>
        <w:rPr>
          <w:rFonts w:hint="eastAsia" w:ascii="宋体" w:hAnsi="宋体" w:eastAsia="宋体"/>
          <w:sz w:val="24"/>
          <w:szCs w:val="24"/>
        </w:rPr>
      </w:pPr>
      <w:r>
        <w:rPr>
          <w:rFonts w:hint="eastAsia" w:ascii="宋体" w:hAnsi="宋体" w:eastAsia="宋体"/>
          <w:sz w:val="24"/>
          <w:szCs w:val="24"/>
        </w:rPr>
        <w:t>5、《信息安全技术 网络安全等级保护测评过程指南》</w:t>
      </w:r>
    </w:p>
    <w:p>
      <w:pPr>
        <w:pStyle w:val="4"/>
        <w:bidi w:val="0"/>
        <w:rPr>
          <w:rFonts w:hint="eastAsia"/>
        </w:rPr>
      </w:pPr>
      <w:r>
        <w:rPr>
          <w:rFonts w:hint="eastAsia"/>
        </w:rPr>
        <w:t>服务要求</w:t>
      </w:r>
    </w:p>
    <w:p>
      <w:pPr>
        <w:pStyle w:val="13"/>
        <w:spacing w:after="0" w:line="360" w:lineRule="auto"/>
        <w:ind w:right="120" w:firstLine="480" w:firstLineChars="200"/>
        <w:rPr>
          <w:rFonts w:ascii="宋体" w:hAnsi="宋体"/>
          <w:sz w:val="24"/>
          <w:szCs w:val="24"/>
        </w:rPr>
      </w:pPr>
      <w:r>
        <w:rPr>
          <w:rFonts w:ascii="宋体" w:hAnsi="宋体"/>
          <w:sz w:val="24"/>
          <w:szCs w:val="24"/>
        </w:rPr>
        <w:t>1、供应商必须保证从事本项目工作的相关人员具备完成合同规定的工作所需的资历和技能，并向</w:t>
      </w:r>
      <w:r>
        <w:rPr>
          <w:rFonts w:hint="eastAsia" w:ascii="宋体" w:hAnsi="宋体"/>
          <w:sz w:val="24"/>
          <w:szCs w:val="24"/>
        </w:rPr>
        <w:t>采购人</w:t>
      </w:r>
      <w:r>
        <w:rPr>
          <w:rFonts w:ascii="宋体" w:hAnsi="宋体"/>
          <w:sz w:val="24"/>
          <w:szCs w:val="24"/>
        </w:rPr>
        <w:t>如实提供相关人员专业经验和水平的证明材料，以及其他的供应商认为有必要提供的资料。</w:t>
      </w:r>
    </w:p>
    <w:p>
      <w:pPr>
        <w:pStyle w:val="13"/>
        <w:spacing w:after="0" w:line="360" w:lineRule="auto"/>
        <w:ind w:right="124" w:firstLine="480" w:firstLineChars="200"/>
        <w:rPr>
          <w:rFonts w:hint="eastAsia" w:ascii="宋体" w:hAnsi="宋体"/>
          <w:sz w:val="24"/>
          <w:szCs w:val="24"/>
          <w:lang w:eastAsia="zh-CN"/>
        </w:rPr>
      </w:pPr>
      <w:r>
        <w:rPr>
          <w:rFonts w:ascii="宋体" w:hAnsi="宋体"/>
          <w:sz w:val="24"/>
          <w:szCs w:val="24"/>
        </w:rPr>
        <w:t>2、供应商需要成立项目服务团队。</w:t>
      </w:r>
    </w:p>
    <w:p>
      <w:pPr>
        <w:pStyle w:val="13"/>
        <w:spacing w:after="0" w:line="360" w:lineRule="auto"/>
        <w:ind w:right="124" w:firstLine="480" w:firstLineChars="200"/>
        <w:rPr>
          <w:rFonts w:ascii="宋体" w:hAnsi="宋体"/>
          <w:sz w:val="24"/>
          <w:szCs w:val="24"/>
        </w:rPr>
      </w:pPr>
      <w:r>
        <w:rPr>
          <w:rFonts w:ascii="宋体" w:hAnsi="宋体"/>
          <w:sz w:val="24"/>
          <w:szCs w:val="24"/>
        </w:rPr>
        <w:t>3、项目经理须具备3年或以上信息安全等级保护测评项目管理经验。</w:t>
      </w:r>
    </w:p>
    <w:p>
      <w:pPr>
        <w:pStyle w:val="13"/>
        <w:spacing w:after="0" w:line="360" w:lineRule="auto"/>
        <w:ind w:right="109" w:firstLine="480" w:firstLineChars="200"/>
        <w:rPr>
          <w:rFonts w:ascii="宋体" w:hAnsi="宋体"/>
          <w:sz w:val="24"/>
          <w:szCs w:val="24"/>
        </w:rPr>
      </w:pPr>
      <w:r>
        <w:rPr>
          <w:rFonts w:ascii="宋体" w:hAnsi="宋体"/>
          <w:sz w:val="24"/>
          <w:szCs w:val="24"/>
        </w:rPr>
        <w:t>4、项目经理与技术服务人员必须为</w:t>
      </w:r>
      <w:r>
        <w:rPr>
          <w:rFonts w:hint="eastAsia" w:ascii="宋体" w:hAnsi="宋体"/>
          <w:sz w:val="24"/>
          <w:szCs w:val="24"/>
        </w:rPr>
        <w:t>本公司</w:t>
      </w:r>
      <w:r>
        <w:rPr>
          <w:rFonts w:ascii="宋体" w:hAnsi="宋体"/>
          <w:sz w:val="24"/>
          <w:szCs w:val="24"/>
        </w:rPr>
        <w:t>工作人员，提供</w:t>
      </w:r>
      <w:r>
        <w:rPr>
          <w:rFonts w:hint="eastAsia" w:ascii="宋体" w:hAnsi="宋体"/>
          <w:sz w:val="24"/>
          <w:szCs w:val="24"/>
        </w:rPr>
        <w:t>本公司</w:t>
      </w:r>
      <w:r>
        <w:rPr>
          <w:rFonts w:ascii="宋体" w:hAnsi="宋体"/>
          <w:sz w:val="24"/>
          <w:szCs w:val="24"/>
        </w:rPr>
        <w:t>社保资料证明（提供证明材料）。</w:t>
      </w:r>
    </w:p>
    <w:p>
      <w:pPr>
        <w:pStyle w:val="13"/>
        <w:spacing w:after="0" w:line="360" w:lineRule="auto"/>
        <w:ind w:right="124" w:firstLine="480" w:firstLineChars="200"/>
        <w:rPr>
          <w:rFonts w:ascii="宋体" w:hAnsi="宋体"/>
          <w:sz w:val="24"/>
          <w:szCs w:val="24"/>
        </w:rPr>
      </w:pPr>
      <w:r>
        <w:rPr>
          <w:rFonts w:ascii="宋体" w:hAnsi="宋体"/>
          <w:sz w:val="24"/>
          <w:szCs w:val="24"/>
        </w:rPr>
        <w:t>5、供应商必须承诺项目的全部实施人员均在</w:t>
      </w:r>
      <w:r>
        <w:rPr>
          <w:rFonts w:hint="eastAsia" w:ascii="宋体" w:hAnsi="宋体"/>
          <w:sz w:val="24"/>
          <w:szCs w:val="24"/>
        </w:rPr>
        <w:t>项目投标提交的</w:t>
      </w:r>
      <w:r>
        <w:rPr>
          <w:rFonts w:ascii="宋体" w:hAnsi="宋体"/>
          <w:sz w:val="24"/>
          <w:szCs w:val="24"/>
        </w:rPr>
        <w:t>人员名单之内。</w:t>
      </w:r>
    </w:p>
    <w:p>
      <w:pPr>
        <w:pStyle w:val="13"/>
        <w:spacing w:after="0" w:line="360" w:lineRule="auto"/>
        <w:ind w:right="124" w:firstLine="480" w:firstLineChars="200"/>
        <w:rPr>
          <w:rFonts w:ascii="宋体" w:hAnsi="宋体"/>
          <w:sz w:val="24"/>
          <w:szCs w:val="24"/>
        </w:rPr>
      </w:pPr>
      <w:r>
        <w:rPr>
          <w:rFonts w:ascii="宋体" w:hAnsi="宋体"/>
          <w:sz w:val="24"/>
          <w:szCs w:val="24"/>
        </w:rPr>
        <w:t>6、其他：</w:t>
      </w:r>
    </w:p>
    <w:p>
      <w:pPr>
        <w:pStyle w:val="13"/>
        <w:spacing w:after="0" w:line="360" w:lineRule="auto"/>
        <w:ind w:right="133" w:firstLine="480" w:firstLineChars="200"/>
        <w:rPr>
          <w:rFonts w:ascii="宋体" w:hAnsi="宋体"/>
          <w:sz w:val="24"/>
          <w:szCs w:val="24"/>
        </w:rPr>
      </w:pPr>
      <w:r>
        <w:rPr>
          <w:rFonts w:ascii="宋体" w:hAnsi="宋体"/>
          <w:sz w:val="24"/>
          <w:szCs w:val="24"/>
        </w:rPr>
        <w:t>（1）如果供应商的人员未能满足</w:t>
      </w:r>
      <w:r>
        <w:rPr>
          <w:rFonts w:hint="eastAsia" w:ascii="宋体" w:hAnsi="宋体"/>
          <w:sz w:val="24"/>
          <w:szCs w:val="24"/>
        </w:rPr>
        <w:t>采购人</w:t>
      </w:r>
      <w:r>
        <w:rPr>
          <w:rFonts w:ascii="宋体" w:hAnsi="宋体"/>
          <w:sz w:val="24"/>
          <w:szCs w:val="24"/>
        </w:rPr>
        <w:t>要求，</w:t>
      </w:r>
      <w:r>
        <w:rPr>
          <w:rFonts w:hint="eastAsia" w:ascii="宋体" w:hAnsi="宋体"/>
          <w:sz w:val="24"/>
          <w:szCs w:val="24"/>
        </w:rPr>
        <w:t>采购人</w:t>
      </w:r>
      <w:r>
        <w:rPr>
          <w:rFonts w:ascii="宋体" w:hAnsi="宋体"/>
          <w:sz w:val="24"/>
          <w:szCs w:val="24"/>
        </w:rPr>
        <w:t>有权在服务方工作期间，根据服务质量随时要求更换人员，由此产生的费用和相关责任由</w:t>
      </w:r>
      <w:r>
        <w:rPr>
          <w:rFonts w:hint="eastAsia" w:ascii="宋体" w:hAnsi="宋体"/>
          <w:sz w:val="24"/>
          <w:szCs w:val="24"/>
        </w:rPr>
        <w:t>成交供应商</w:t>
      </w:r>
      <w:r>
        <w:rPr>
          <w:rFonts w:ascii="宋体" w:hAnsi="宋体"/>
          <w:sz w:val="24"/>
          <w:szCs w:val="24"/>
        </w:rPr>
        <w:t>独立承担。</w:t>
      </w:r>
    </w:p>
    <w:p>
      <w:pPr>
        <w:pStyle w:val="13"/>
        <w:spacing w:after="0" w:line="360" w:lineRule="auto"/>
        <w:ind w:right="116" w:firstLine="480" w:firstLineChars="200"/>
        <w:rPr>
          <w:rFonts w:ascii="宋体" w:hAnsi="宋体"/>
          <w:sz w:val="24"/>
          <w:szCs w:val="24"/>
        </w:rPr>
      </w:pPr>
      <w:r>
        <w:rPr>
          <w:rFonts w:ascii="宋体" w:hAnsi="宋体"/>
          <w:sz w:val="24"/>
          <w:szCs w:val="24"/>
        </w:rPr>
        <w:t>（2）若</w:t>
      </w:r>
      <w:r>
        <w:rPr>
          <w:rFonts w:hint="eastAsia" w:ascii="宋体" w:hAnsi="宋体"/>
          <w:sz w:val="24"/>
          <w:szCs w:val="24"/>
        </w:rPr>
        <w:t>成交供应商</w:t>
      </w:r>
      <w:r>
        <w:rPr>
          <w:rFonts w:ascii="宋体" w:hAnsi="宋体"/>
          <w:sz w:val="24"/>
          <w:szCs w:val="24"/>
        </w:rPr>
        <w:t>需要更换核心服务人员，应提前以书面方式通知</w:t>
      </w:r>
      <w:r>
        <w:rPr>
          <w:rFonts w:hint="eastAsia" w:ascii="宋体" w:hAnsi="宋体"/>
          <w:sz w:val="24"/>
          <w:szCs w:val="24"/>
        </w:rPr>
        <w:t>采购人</w:t>
      </w:r>
      <w:r>
        <w:rPr>
          <w:rFonts w:ascii="宋体" w:hAnsi="宋体"/>
          <w:sz w:val="24"/>
          <w:szCs w:val="24"/>
        </w:rPr>
        <w:t>项目总负责人，并附上相应人员的详细简历供</w:t>
      </w:r>
      <w:r>
        <w:rPr>
          <w:rFonts w:hint="eastAsia" w:ascii="宋体" w:hAnsi="宋体"/>
          <w:sz w:val="24"/>
          <w:szCs w:val="24"/>
        </w:rPr>
        <w:t>采购人</w:t>
      </w:r>
      <w:r>
        <w:rPr>
          <w:rFonts w:ascii="宋体" w:hAnsi="宋体"/>
          <w:sz w:val="24"/>
          <w:szCs w:val="24"/>
        </w:rPr>
        <w:t>进行审核，只有获得</w:t>
      </w:r>
      <w:r>
        <w:rPr>
          <w:rFonts w:hint="eastAsia" w:ascii="宋体" w:hAnsi="宋体"/>
          <w:sz w:val="24"/>
          <w:szCs w:val="24"/>
        </w:rPr>
        <w:t>采购人</w:t>
      </w:r>
      <w:r>
        <w:rPr>
          <w:rFonts w:ascii="宋体" w:hAnsi="宋体"/>
          <w:sz w:val="24"/>
          <w:szCs w:val="24"/>
        </w:rPr>
        <w:t>项目总负责人的正式批准后方能进行更换。</w:t>
      </w:r>
    </w:p>
    <w:p>
      <w:pPr>
        <w:pStyle w:val="13"/>
        <w:spacing w:after="0" w:line="360" w:lineRule="auto"/>
        <w:ind w:right="116" w:firstLine="480" w:firstLineChars="200"/>
        <w:rPr>
          <w:rFonts w:hint="eastAsia" w:ascii="宋体" w:hAnsi="宋体"/>
          <w:sz w:val="24"/>
          <w:szCs w:val="24"/>
        </w:rPr>
      </w:pPr>
    </w:p>
    <w:p>
      <w:pPr>
        <w:pStyle w:val="4"/>
        <w:bidi w:val="0"/>
        <w:rPr>
          <w:rFonts w:hint="eastAsia"/>
        </w:rPr>
      </w:pPr>
      <w:r>
        <w:rPr>
          <w:rFonts w:hint="eastAsia"/>
        </w:rPr>
        <w:t>质量保证</w:t>
      </w:r>
    </w:p>
    <w:p>
      <w:pPr>
        <w:spacing w:line="360" w:lineRule="auto"/>
        <w:ind w:right="96" w:firstLine="480" w:firstLineChars="200"/>
        <w:rPr>
          <w:rFonts w:ascii="宋体" w:hAnsi="宋体"/>
          <w:kern w:val="0"/>
          <w:sz w:val="24"/>
          <w:szCs w:val="24"/>
        </w:rPr>
      </w:pPr>
      <w:r>
        <w:rPr>
          <w:rFonts w:hint="eastAsia" w:ascii="宋体" w:hAnsi="宋体"/>
          <w:sz w:val="24"/>
          <w:szCs w:val="24"/>
        </w:rPr>
        <w:t>成交供应商</w:t>
      </w:r>
      <w:r>
        <w:rPr>
          <w:rFonts w:ascii="宋体" w:hAnsi="宋体"/>
          <w:kern w:val="0"/>
          <w:sz w:val="24"/>
          <w:szCs w:val="24"/>
        </w:rPr>
        <w:t>应制定质量计划作为项目策划的一部分，质量计划应包括下列内容：</w:t>
      </w:r>
    </w:p>
    <w:p>
      <w:pPr>
        <w:spacing w:line="360" w:lineRule="auto"/>
        <w:ind w:right="96" w:firstLine="480" w:firstLineChars="200"/>
        <w:rPr>
          <w:rFonts w:ascii="宋体" w:hAnsi="宋体"/>
          <w:kern w:val="0"/>
          <w:sz w:val="24"/>
          <w:szCs w:val="24"/>
        </w:rPr>
      </w:pPr>
      <w:r>
        <w:rPr>
          <w:rFonts w:ascii="宋体" w:hAnsi="宋体"/>
          <w:kern w:val="0"/>
          <w:sz w:val="24"/>
          <w:szCs w:val="24"/>
        </w:rPr>
        <w:t>(1)   质量目标，尽可能以定量形式给出。</w:t>
      </w:r>
    </w:p>
    <w:p>
      <w:pPr>
        <w:spacing w:line="360" w:lineRule="auto"/>
        <w:ind w:right="96" w:firstLine="480" w:firstLineChars="200"/>
        <w:rPr>
          <w:rFonts w:ascii="宋体" w:hAnsi="宋体"/>
          <w:kern w:val="0"/>
          <w:sz w:val="24"/>
          <w:szCs w:val="24"/>
        </w:rPr>
      </w:pPr>
      <w:r>
        <w:rPr>
          <w:rFonts w:ascii="宋体" w:hAnsi="宋体"/>
          <w:kern w:val="0"/>
          <w:sz w:val="24"/>
          <w:szCs w:val="24"/>
        </w:rPr>
        <w:t>(2)   对质量活动的具体职责，诸如：评审和测试、配置管理和更改控制、对缺陷的控制及纠正措施。</w:t>
      </w:r>
    </w:p>
    <w:p>
      <w:pPr>
        <w:spacing w:line="360" w:lineRule="auto"/>
        <w:ind w:right="96" w:firstLine="480" w:firstLineChars="200"/>
        <w:rPr>
          <w:rFonts w:ascii="宋体" w:hAnsi="宋体"/>
          <w:kern w:val="0"/>
          <w:sz w:val="24"/>
          <w:szCs w:val="24"/>
        </w:rPr>
      </w:pPr>
      <w:r>
        <w:rPr>
          <w:rFonts w:ascii="宋体" w:hAnsi="宋体"/>
          <w:kern w:val="0"/>
          <w:sz w:val="24"/>
          <w:szCs w:val="24"/>
        </w:rPr>
        <w:t xml:space="preserve">(3) </w:t>
      </w:r>
      <w:r>
        <w:rPr>
          <w:rFonts w:hint="eastAsia" w:ascii="宋体" w:hAnsi="宋体"/>
          <w:kern w:val="0"/>
          <w:sz w:val="24"/>
          <w:szCs w:val="24"/>
        </w:rPr>
        <w:t xml:space="preserve"> </w:t>
      </w:r>
      <w:r>
        <w:rPr>
          <w:rFonts w:ascii="宋体" w:hAnsi="宋体"/>
          <w:kern w:val="0"/>
          <w:sz w:val="24"/>
          <w:szCs w:val="24"/>
        </w:rPr>
        <w:t>质量计划应顺次列出从整体规划到成果提交全过程中的每一个工序(阶段)及其相应的控制规程和控制措施。</w:t>
      </w:r>
    </w:p>
    <w:p>
      <w:pPr>
        <w:spacing w:line="360" w:lineRule="auto"/>
        <w:ind w:right="96" w:firstLine="480" w:firstLineChars="200"/>
        <w:rPr>
          <w:rFonts w:ascii="宋体" w:hAnsi="宋体"/>
          <w:kern w:val="0"/>
          <w:sz w:val="24"/>
          <w:szCs w:val="24"/>
        </w:rPr>
      </w:pPr>
      <w:r>
        <w:rPr>
          <w:rFonts w:ascii="宋体" w:hAnsi="宋体"/>
          <w:kern w:val="0"/>
          <w:sz w:val="24"/>
          <w:szCs w:val="24"/>
        </w:rPr>
        <w:t>(4) 质量计划应在工作开始前提交</w:t>
      </w:r>
      <w:r>
        <w:rPr>
          <w:rFonts w:hint="eastAsia" w:ascii="宋体" w:hAnsi="宋体"/>
          <w:sz w:val="24"/>
          <w:szCs w:val="24"/>
        </w:rPr>
        <w:t>采购人</w:t>
      </w:r>
      <w:r>
        <w:rPr>
          <w:rFonts w:ascii="宋体" w:hAnsi="宋体"/>
          <w:kern w:val="0"/>
          <w:sz w:val="24"/>
          <w:szCs w:val="24"/>
        </w:rPr>
        <w:t>项目总负责人审核认可，并设置</w:t>
      </w:r>
      <w:r>
        <w:rPr>
          <w:rFonts w:hint="eastAsia" w:ascii="宋体" w:hAnsi="宋体"/>
          <w:sz w:val="24"/>
          <w:szCs w:val="24"/>
        </w:rPr>
        <w:t>采购人</w:t>
      </w:r>
      <w:r>
        <w:rPr>
          <w:rFonts w:ascii="宋体" w:hAnsi="宋体"/>
          <w:kern w:val="0"/>
          <w:sz w:val="24"/>
          <w:szCs w:val="24"/>
        </w:rPr>
        <w:t>参加的控制点。</w:t>
      </w:r>
    </w:p>
    <w:p>
      <w:pPr>
        <w:spacing w:line="360" w:lineRule="auto"/>
        <w:ind w:right="96" w:firstLine="480" w:firstLineChars="200"/>
        <w:rPr>
          <w:rFonts w:ascii="宋体" w:hAnsi="宋体"/>
          <w:kern w:val="0"/>
          <w:sz w:val="24"/>
          <w:szCs w:val="24"/>
        </w:rPr>
      </w:pPr>
      <w:r>
        <w:rPr>
          <w:rFonts w:ascii="宋体" w:hAnsi="宋体"/>
          <w:kern w:val="0"/>
          <w:sz w:val="24"/>
          <w:szCs w:val="24"/>
        </w:rPr>
        <w:t xml:space="preserve">(5) </w:t>
      </w:r>
      <w:r>
        <w:rPr>
          <w:rFonts w:hint="eastAsia" w:ascii="宋体" w:hAnsi="宋体"/>
          <w:sz w:val="24"/>
          <w:szCs w:val="24"/>
        </w:rPr>
        <w:t>采购人</w:t>
      </w:r>
      <w:r>
        <w:rPr>
          <w:rFonts w:ascii="宋体" w:hAnsi="宋体"/>
          <w:kern w:val="0"/>
          <w:sz w:val="24"/>
          <w:szCs w:val="24"/>
        </w:rPr>
        <w:t>代表有权在工作时间内进入</w:t>
      </w:r>
      <w:r>
        <w:rPr>
          <w:rFonts w:hint="eastAsia" w:ascii="宋体" w:hAnsi="宋体"/>
          <w:sz w:val="24"/>
          <w:szCs w:val="24"/>
        </w:rPr>
        <w:t>成交供应商</w:t>
      </w:r>
      <w:r>
        <w:rPr>
          <w:rFonts w:ascii="宋体" w:hAnsi="宋体"/>
          <w:kern w:val="0"/>
          <w:sz w:val="24"/>
          <w:szCs w:val="24"/>
        </w:rPr>
        <w:t>与合同执行有关的工作场所进行质量控制与评价活动，</w:t>
      </w:r>
      <w:r>
        <w:rPr>
          <w:rFonts w:hint="eastAsia" w:ascii="宋体" w:hAnsi="宋体"/>
          <w:sz w:val="24"/>
          <w:szCs w:val="24"/>
        </w:rPr>
        <w:t>成交供应商</w:t>
      </w:r>
      <w:r>
        <w:rPr>
          <w:rFonts w:ascii="宋体" w:hAnsi="宋体"/>
          <w:kern w:val="0"/>
          <w:sz w:val="24"/>
          <w:szCs w:val="24"/>
        </w:rPr>
        <w:t>应为</w:t>
      </w:r>
      <w:r>
        <w:rPr>
          <w:rFonts w:hint="eastAsia" w:ascii="宋体" w:hAnsi="宋体"/>
          <w:sz w:val="24"/>
          <w:szCs w:val="24"/>
        </w:rPr>
        <w:t>采购人</w:t>
      </w:r>
      <w:r>
        <w:rPr>
          <w:rFonts w:ascii="宋体" w:hAnsi="宋体"/>
          <w:kern w:val="0"/>
          <w:sz w:val="24"/>
          <w:szCs w:val="24"/>
        </w:rPr>
        <w:t>的活动提供必要的条件，并给予必要的支持。</w:t>
      </w:r>
    </w:p>
    <w:p>
      <w:pPr>
        <w:spacing w:line="360" w:lineRule="auto"/>
        <w:ind w:right="96" w:firstLine="480" w:firstLineChars="200"/>
        <w:rPr>
          <w:rFonts w:ascii="宋体" w:hAnsi="宋体"/>
          <w:kern w:val="0"/>
          <w:sz w:val="24"/>
          <w:szCs w:val="24"/>
        </w:rPr>
      </w:pPr>
      <w:r>
        <w:rPr>
          <w:rFonts w:ascii="宋体" w:hAnsi="宋体"/>
          <w:kern w:val="0"/>
          <w:sz w:val="24"/>
          <w:szCs w:val="24"/>
        </w:rPr>
        <w:t>(6)</w:t>
      </w:r>
      <w:r>
        <w:rPr>
          <w:rFonts w:hint="eastAsia" w:ascii="宋体" w:hAnsi="宋体"/>
          <w:kern w:val="0"/>
          <w:sz w:val="24"/>
          <w:szCs w:val="24"/>
        </w:rPr>
        <w:t xml:space="preserve">  </w:t>
      </w:r>
      <w:r>
        <w:rPr>
          <w:rFonts w:hint="eastAsia" w:ascii="宋体" w:hAnsi="宋体"/>
          <w:sz w:val="24"/>
          <w:szCs w:val="24"/>
        </w:rPr>
        <w:t>采购人</w:t>
      </w:r>
      <w:r>
        <w:rPr>
          <w:rFonts w:ascii="宋体" w:hAnsi="宋体"/>
          <w:kern w:val="0"/>
          <w:sz w:val="24"/>
          <w:szCs w:val="24"/>
        </w:rPr>
        <w:t>对</w:t>
      </w:r>
      <w:r>
        <w:rPr>
          <w:rFonts w:hint="eastAsia" w:ascii="宋体" w:hAnsi="宋体"/>
          <w:sz w:val="24"/>
          <w:szCs w:val="24"/>
        </w:rPr>
        <w:t>成交供应商</w:t>
      </w:r>
      <w:r>
        <w:rPr>
          <w:rFonts w:ascii="宋体" w:hAnsi="宋体"/>
          <w:kern w:val="0"/>
          <w:sz w:val="24"/>
          <w:szCs w:val="24"/>
        </w:rPr>
        <w:t>进行的一切质量控制与评价活动，不能减免</w:t>
      </w:r>
      <w:r>
        <w:rPr>
          <w:rFonts w:hint="eastAsia" w:ascii="宋体" w:hAnsi="宋体"/>
          <w:sz w:val="24"/>
          <w:szCs w:val="24"/>
        </w:rPr>
        <w:t>成交供应商</w:t>
      </w:r>
      <w:r>
        <w:rPr>
          <w:rFonts w:ascii="宋体" w:hAnsi="宋体"/>
          <w:kern w:val="0"/>
          <w:sz w:val="24"/>
          <w:szCs w:val="24"/>
        </w:rPr>
        <w:t>的合同责任。</w:t>
      </w:r>
    </w:p>
    <w:p>
      <w:pPr>
        <w:spacing w:line="360" w:lineRule="auto"/>
        <w:ind w:right="96" w:firstLine="480" w:firstLineChars="200"/>
        <w:rPr>
          <w:rFonts w:ascii="宋体" w:hAnsi="宋体"/>
          <w:kern w:val="0"/>
          <w:sz w:val="24"/>
          <w:szCs w:val="24"/>
        </w:rPr>
      </w:pPr>
      <w:r>
        <w:rPr>
          <w:rFonts w:ascii="宋体" w:hAnsi="宋体"/>
          <w:kern w:val="0"/>
          <w:sz w:val="24"/>
          <w:szCs w:val="24"/>
        </w:rPr>
        <w:t>(7) 文件控制，必须对工作的执行和验证所需要的文件(例如规程、细则等)的编制、审核、批准和发放进行控制以保证参与活动的人员能使用完成该项活动所需的正确文件及适合版本记录，应建立并保存足够的质量保证记录(包括检查、确认及评审等记录)，记录应能体现质量的客观证据。</w:t>
      </w:r>
    </w:p>
    <w:p>
      <w:pPr>
        <w:spacing w:line="360" w:lineRule="auto"/>
        <w:ind w:right="96" w:firstLine="480" w:firstLineChars="200"/>
        <w:rPr>
          <w:rFonts w:ascii="宋体" w:hAnsi="宋体"/>
          <w:kern w:val="0"/>
          <w:sz w:val="24"/>
          <w:szCs w:val="24"/>
        </w:rPr>
      </w:pPr>
      <w:r>
        <w:rPr>
          <w:rFonts w:ascii="宋体" w:hAnsi="宋体"/>
          <w:kern w:val="0"/>
          <w:sz w:val="24"/>
          <w:szCs w:val="24"/>
        </w:rPr>
        <w:t xml:space="preserve">(8) </w:t>
      </w:r>
      <w:r>
        <w:rPr>
          <w:rFonts w:hint="eastAsia" w:ascii="宋体" w:hAnsi="宋体"/>
          <w:sz w:val="24"/>
          <w:szCs w:val="24"/>
        </w:rPr>
        <w:t>成交供应商</w:t>
      </w:r>
      <w:r>
        <w:rPr>
          <w:rFonts w:ascii="宋体" w:hAnsi="宋体"/>
          <w:kern w:val="0"/>
          <w:sz w:val="24"/>
          <w:szCs w:val="24"/>
        </w:rPr>
        <w:t>须按照合同规定向</w:t>
      </w:r>
      <w:r>
        <w:rPr>
          <w:rFonts w:hint="eastAsia" w:ascii="宋体" w:hAnsi="宋体"/>
          <w:sz w:val="24"/>
          <w:szCs w:val="24"/>
        </w:rPr>
        <w:t>采购人</w:t>
      </w:r>
      <w:r>
        <w:rPr>
          <w:rFonts w:ascii="宋体" w:hAnsi="宋体"/>
          <w:kern w:val="0"/>
          <w:sz w:val="24"/>
          <w:szCs w:val="24"/>
        </w:rPr>
        <w:t>提交各种有关文件记录，并对文件记录的内容及其有效性负全部责任。</w:t>
      </w:r>
    </w:p>
    <w:p>
      <w:pPr>
        <w:pStyle w:val="4"/>
        <w:bidi w:val="0"/>
        <w:rPr>
          <w:rFonts w:hint="eastAsia"/>
        </w:rPr>
      </w:pPr>
      <w:r>
        <w:rPr>
          <w:rFonts w:hint="eastAsia"/>
        </w:rPr>
        <w:t>安全保密要求</w:t>
      </w:r>
    </w:p>
    <w:p>
      <w:pPr>
        <w:spacing w:line="360" w:lineRule="auto"/>
        <w:ind w:right="96" w:firstLine="480" w:firstLineChars="200"/>
        <w:rPr>
          <w:rFonts w:ascii="宋体" w:hAnsi="宋体"/>
          <w:kern w:val="0"/>
          <w:sz w:val="24"/>
          <w:szCs w:val="24"/>
        </w:rPr>
      </w:pPr>
      <w:r>
        <w:rPr>
          <w:rFonts w:ascii="宋体" w:hAnsi="宋体"/>
          <w:kern w:val="0"/>
          <w:sz w:val="24"/>
          <w:szCs w:val="24"/>
        </w:rPr>
        <w:t>1.</w:t>
      </w:r>
      <w:r>
        <w:rPr>
          <w:rFonts w:hint="eastAsia" w:ascii="宋体" w:hAnsi="宋体"/>
          <w:sz w:val="24"/>
          <w:szCs w:val="24"/>
        </w:rPr>
        <w:t xml:space="preserve"> 成交供应商</w:t>
      </w:r>
      <w:r>
        <w:rPr>
          <w:rFonts w:ascii="宋体" w:hAnsi="宋体"/>
          <w:kern w:val="0"/>
          <w:sz w:val="24"/>
          <w:szCs w:val="24"/>
        </w:rPr>
        <w:t>及其服务人员均须与</w:t>
      </w:r>
      <w:r>
        <w:rPr>
          <w:rFonts w:hint="eastAsia" w:ascii="宋体" w:hAnsi="宋体"/>
          <w:sz w:val="24"/>
          <w:szCs w:val="24"/>
        </w:rPr>
        <w:t>采购人</w:t>
      </w:r>
      <w:r>
        <w:rPr>
          <w:rFonts w:ascii="宋体" w:hAnsi="宋体"/>
          <w:kern w:val="0"/>
          <w:sz w:val="24"/>
          <w:szCs w:val="24"/>
        </w:rPr>
        <w:t>签署相关保密协议，同时要求提供</w:t>
      </w:r>
      <w:r>
        <w:rPr>
          <w:rFonts w:hint="eastAsia" w:ascii="宋体" w:hAnsi="宋体"/>
          <w:sz w:val="24"/>
          <w:szCs w:val="24"/>
        </w:rPr>
        <w:t>成交供应商</w:t>
      </w:r>
      <w:r>
        <w:rPr>
          <w:rFonts w:ascii="宋体" w:hAnsi="宋体"/>
          <w:kern w:val="0"/>
          <w:sz w:val="24"/>
          <w:szCs w:val="24"/>
        </w:rPr>
        <w:t>与其服务人员就本次服务签署的保密协议。</w:t>
      </w:r>
    </w:p>
    <w:p>
      <w:pPr>
        <w:spacing w:line="360" w:lineRule="auto"/>
        <w:ind w:right="96" w:firstLine="480" w:firstLineChars="200"/>
        <w:rPr>
          <w:rFonts w:ascii="宋体" w:hAnsi="宋体"/>
          <w:kern w:val="0"/>
          <w:sz w:val="24"/>
          <w:szCs w:val="24"/>
        </w:rPr>
      </w:pPr>
      <w:r>
        <w:rPr>
          <w:rFonts w:ascii="宋体" w:hAnsi="宋体"/>
          <w:kern w:val="0"/>
          <w:sz w:val="24"/>
          <w:szCs w:val="24"/>
        </w:rPr>
        <w:t>2.</w:t>
      </w:r>
      <w:r>
        <w:rPr>
          <w:rFonts w:ascii="宋体" w:hAnsi="宋体"/>
          <w:kern w:val="0"/>
          <w:sz w:val="24"/>
          <w:szCs w:val="24"/>
        </w:rPr>
        <w:tab/>
      </w:r>
      <w:r>
        <w:rPr>
          <w:rFonts w:ascii="宋体" w:hAnsi="宋体"/>
          <w:kern w:val="0"/>
          <w:sz w:val="24"/>
          <w:szCs w:val="24"/>
        </w:rPr>
        <w:t>针对本服务项目，要求服务人员的变动率不得超过 20%，确需变更应提前通知</w:t>
      </w:r>
      <w:r>
        <w:rPr>
          <w:rFonts w:hint="eastAsia" w:ascii="宋体" w:hAnsi="宋体"/>
          <w:sz w:val="24"/>
          <w:szCs w:val="24"/>
        </w:rPr>
        <w:t>采购人</w:t>
      </w:r>
      <w:r>
        <w:rPr>
          <w:rFonts w:ascii="宋体" w:hAnsi="宋体"/>
          <w:kern w:val="0"/>
          <w:sz w:val="24"/>
          <w:szCs w:val="24"/>
        </w:rPr>
        <w:t>并获得批准后方可进行。</w:t>
      </w:r>
    </w:p>
    <w:p>
      <w:pPr>
        <w:spacing w:line="360" w:lineRule="auto"/>
        <w:ind w:right="96" w:firstLine="480" w:firstLineChars="200"/>
        <w:rPr>
          <w:rFonts w:ascii="宋体" w:hAnsi="宋体"/>
          <w:kern w:val="0"/>
          <w:sz w:val="24"/>
          <w:szCs w:val="24"/>
        </w:rPr>
      </w:pPr>
      <w:r>
        <w:rPr>
          <w:rFonts w:ascii="宋体" w:hAnsi="宋体"/>
          <w:kern w:val="0"/>
          <w:sz w:val="24"/>
          <w:szCs w:val="24"/>
        </w:rPr>
        <w:t>3. 服务过程中所有原始资料和数据均须妥善保管，仅限在项目组内为本服务项目所用，不得以任何方式外泄或用于其它用途，服务人员须及时删除存储在电脑中或纸质的数据和文件材料。</w:t>
      </w:r>
    </w:p>
    <w:p>
      <w:pPr>
        <w:pStyle w:val="2"/>
        <w:rPr>
          <w:rFonts w:ascii="宋体" w:hAnsi="宋体"/>
          <w:kern w:val="0"/>
          <w:sz w:val="24"/>
          <w:szCs w:val="24"/>
        </w:rPr>
      </w:pPr>
    </w:p>
    <w:p/>
    <w:p>
      <w:pPr>
        <w:pStyle w:val="4"/>
        <w:bidi w:val="0"/>
        <w:rPr>
          <w:rFonts w:hint="eastAsia"/>
        </w:rPr>
      </w:pPr>
      <w:r>
        <w:rPr>
          <w:rFonts w:hint="eastAsia"/>
        </w:rPr>
        <w:t>项目工期要求</w:t>
      </w:r>
    </w:p>
    <w:p>
      <w:pPr>
        <w:spacing w:line="360" w:lineRule="auto"/>
        <w:ind w:firstLine="600" w:firstLineChars="250"/>
        <w:jc w:val="left"/>
        <w:rPr>
          <w:rFonts w:ascii="宋体" w:hAnsi="宋体"/>
          <w:sz w:val="24"/>
        </w:rPr>
      </w:pPr>
      <w:r>
        <w:rPr>
          <w:rFonts w:hint="eastAsia" w:ascii="宋体" w:hAnsi="宋体"/>
          <w:sz w:val="24"/>
        </w:rPr>
        <w:t>要求整个项目在合同签订后1</w:t>
      </w:r>
      <w:r>
        <w:rPr>
          <w:rFonts w:hint="eastAsia" w:ascii="宋体" w:hAnsi="宋体"/>
          <w:sz w:val="24"/>
          <w:lang w:val="en-US" w:eastAsia="zh-CN"/>
        </w:rPr>
        <w:t>2</w:t>
      </w:r>
      <w:r>
        <w:rPr>
          <w:rFonts w:hint="eastAsia" w:ascii="宋体" w:hAnsi="宋体"/>
          <w:sz w:val="24"/>
        </w:rPr>
        <w:t>个月内完成。项目初验后，完成测试评估，并出具测评报告和安全整改建议。项目最终验收前，</w:t>
      </w:r>
      <w:r>
        <w:rPr>
          <w:rFonts w:hint="eastAsia" w:ascii="宋体" w:hAnsi="宋体"/>
          <w:sz w:val="24"/>
          <w:lang w:val="en-US" w:eastAsia="zh-CN"/>
        </w:rPr>
        <w:t>三个系统</w:t>
      </w:r>
      <w:r>
        <w:rPr>
          <w:rFonts w:hint="eastAsia" w:ascii="宋体" w:hAnsi="宋体"/>
          <w:sz w:val="24"/>
        </w:rPr>
        <w:t>需完成对信息系统整改后的测试评估、输出2.0验收测评报告，并协助用户方通过公安机关的备案与检查</w:t>
      </w:r>
      <w:r>
        <w:rPr>
          <w:rFonts w:hint="eastAsia" w:ascii="宋体" w:hAnsi="宋体"/>
          <w:sz w:val="24"/>
          <w:lang w:eastAsia="zh-CN"/>
        </w:rPr>
        <w:t>；</w:t>
      </w:r>
      <w:r>
        <w:rPr>
          <w:rFonts w:hint="eastAsia" w:ascii="宋体" w:hAnsi="宋体"/>
          <w:sz w:val="24"/>
          <w:lang w:val="en-US" w:eastAsia="zh-CN"/>
        </w:rPr>
        <w:t>要求在整个项目合同签订后</w:t>
      </w:r>
      <w:r>
        <w:rPr>
          <w:rFonts w:hint="default" w:ascii="宋体" w:hAnsi="宋体"/>
          <w:sz w:val="24"/>
          <w:lang w:val="en-US" w:eastAsia="zh-CN"/>
        </w:rPr>
        <w:t>12</w:t>
      </w:r>
      <w:r>
        <w:rPr>
          <w:rFonts w:hint="eastAsia" w:ascii="宋体" w:hAnsi="宋体"/>
          <w:sz w:val="24"/>
          <w:lang w:val="en-US" w:eastAsia="zh-CN"/>
        </w:rPr>
        <w:t>个月内，完成六个系统包括但不限于漏洞扫描、渗透测试等安全检测并</w:t>
      </w:r>
      <w:r>
        <w:rPr>
          <w:rFonts w:hint="eastAsia" w:ascii="宋体" w:hAnsi="宋体"/>
          <w:sz w:val="24"/>
        </w:rPr>
        <w:t>输出</w:t>
      </w:r>
      <w:r>
        <w:rPr>
          <w:rFonts w:hint="eastAsia" w:ascii="宋体" w:hAnsi="宋体"/>
          <w:sz w:val="24"/>
          <w:lang w:val="en-US" w:eastAsia="zh-CN"/>
        </w:rPr>
        <w:t>安全检测报告</w:t>
      </w:r>
      <w:r>
        <w:rPr>
          <w:rFonts w:hint="eastAsia" w:ascii="宋体" w:hAnsi="宋体"/>
          <w:sz w:val="24"/>
        </w:rPr>
        <w:t>。</w:t>
      </w:r>
    </w:p>
    <w:p>
      <w:pPr>
        <w:rPr>
          <w:rFonts w:hint="eastAsia"/>
        </w:rPr>
      </w:pPr>
    </w:p>
    <w:p>
      <w:pPr>
        <w:pStyle w:val="4"/>
        <w:bidi w:val="0"/>
        <w:rPr>
          <w:rFonts w:hint="eastAsia"/>
        </w:rPr>
      </w:pPr>
      <w:r>
        <w:rPr>
          <w:rFonts w:hint="eastAsia"/>
        </w:rPr>
        <w:t>项目</w:t>
      </w:r>
      <w:r>
        <w:t>成果</w:t>
      </w:r>
      <w:r>
        <w:rPr>
          <w:rFonts w:hint="eastAsia"/>
        </w:rPr>
        <w:t>及</w:t>
      </w:r>
      <w:r>
        <w:t>形式</w:t>
      </w:r>
    </w:p>
    <w:p>
      <w:pPr>
        <w:spacing w:line="360" w:lineRule="auto"/>
        <w:ind w:firstLine="480" w:firstLineChars="200"/>
        <w:jc w:val="left"/>
        <w:rPr>
          <w:rFonts w:hint="eastAsia" w:ascii="宋体" w:hAnsi="宋体"/>
          <w:color w:val="000000"/>
          <w:sz w:val="24"/>
          <w:szCs w:val="24"/>
        </w:rPr>
      </w:pPr>
      <w:r>
        <w:rPr>
          <w:rFonts w:hint="eastAsia" w:ascii="宋体" w:hAnsi="宋体"/>
          <w:color w:val="000000"/>
          <w:sz w:val="24"/>
          <w:szCs w:val="24"/>
        </w:rPr>
        <w:t>本项目完成后预期取得的成果应包括以下部分：</w:t>
      </w:r>
    </w:p>
    <w:p>
      <w:pPr>
        <w:spacing w:line="360" w:lineRule="auto"/>
        <w:ind w:firstLine="482" w:firstLineChars="200"/>
        <w:jc w:val="left"/>
        <w:rPr>
          <w:rFonts w:hint="eastAsia" w:ascii="宋体" w:hAnsi="宋体"/>
          <w:b/>
          <w:color w:val="000000"/>
          <w:sz w:val="24"/>
          <w:szCs w:val="24"/>
        </w:rPr>
      </w:pPr>
      <w:r>
        <w:rPr>
          <w:rFonts w:hint="eastAsia" w:ascii="宋体" w:hAnsi="宋体"/>
          <w:b/>
          <w:color w:val="000000"/>
          <w:sz w:val="24"/>
          <w:szCs w:val="24"/>
        </w:rPr>
        <w:t>（1）</w:t>
      </w:r>
      <w:r>
        <w:rPr>
          <w:rFonts w:hint="eastAsia" w:ascii="宋体" w:hAnsi="宋体"/>
          <w:b/>
          <w:color w:val="000000"/>
          <w:sz w:val="24"/>
          <w:szCs w:val="24"/>
          <w:lang w:val="en-US" w:eastAsia="zh-CN"/>
        </w:rPr>
        <w:t>等保</w:t>
      </w:r>
      <w:r>
        <w:rPr>
          <w:rFonts w:hint="eastAsia" w:ascii="宋体" w:hAnsi="宋体"/>
          <w:b/>
          <w:color w:val="000000"/>
          <w:sz w:val="24"/>
          <w:szCs w:val="24"/>
        </w:rPr>
        <w:t>测评报告</w:t>
      </w:r>
    </w:p>
    <w:p>
      <w:pPr>
        <w:spacing w:line="360" w:lineRule="auto"/>
        <w:ind w:firstLine="480" w:firstLineChars="200"/>
        <w:jc w:val="left"/>
        <w:rPr>
          <w:rFonts w:hint="eastAsia" w:ascii="宋体" w:hAnsi="宋体"/>
          <w:sz w:val="24"/>
        </w:rPr>
      </w:pPr>
      <w:r>
        <w:rPr>
          <w:rFonts w:hint="eastAsia" w:ascii="宋体" w:hAnsi="宋体"/>
          <w:sz w:val="24"/>
        </w:rPr>
        <w:t>提供</w:t>
      </w:r>
      <w:r>
        <w:rPr>
          <w:rFonts w:hint="eastAsia" w:ascii="宋体" w:hAnsi="宋体"/>
          <w:sz w:val="24"/>
          <w:lang w:val="en-US" w:eastAsia="zh-CN"/>
        </w:rPr>
        <w:t>3个系统</w:t>
      </w:r>
      <w:r>
        <w:rPr>
          <w:rFonts w:hint="eastAsia" w:ascii="宋体" w:hAnsi="宋体"/>
          <w:sz w:val="24"/>
        </w:rPr>
        <w:t>等保2.0测评标准的最终等级保护安全测评报告。</w:t>
      </w:r>
    </w:p>
    <w:p>
      <w:pPr>
        <w:spacing w:line="360" w:lineRule="auto"/>
        <w:ind w:firstLine="482" w:firstLineChars="200"/>
        <w:jc w:val="left"/>
        <w:rPr>
          <w:rFonts w:hint="eastAsia" w:ascii="宋体" w:hAnsi="宋体"/>
          <w:b/>
          <w:color w:val="000000"/>
          <w:sz w:val="24"/>
          <w:szCs w:val="24"/>
        </w:rPr>
      </w:pPr>
      <w:r>
        <w:rPr>
          <w:rFonts w:hint="eastAsia" w:ascii="宋体" w:hAnsi="宋体"/>
          <w:b/>
          <w:color w:val="000000"/>
          <w:sz w:val="24"/>
          <w:szCs w:val="24"/>
        </w:rPr>
        <w:t>（2）公安机关回执证明</w:t>
      </w:r>
    </w:p>
    <w:p>
      <w:pPr>
        <w:spacing w:line="360" w:lineRule="auto"/>
        <w:ind w:firstLine="480" w:firstLineChars="200"/>
        <w:jc w:val="left"/>
        <w:rPr>
          <w:rFonts w:hint="eastAsia" w:ascii="宋体" w:hAnsi="宋体"/>
          <w:sz w:val="24"/>
        </w:rPr>
      </w:pPr>
      <w:r>
        <w:rPr>
          <w:rFonts w:hint="eastAsia" w:ascii="宋体" w:hAnsi="宋体"/>
          <w:color w:val="000000"/>
          <w:sz w:val="24"/>
          <w:szCs w:val="24"/>
        </w:rPr>
        <w:t>提供公安机关</w:t>
      </w:r>
      <w:r>
        <w:rPr>
          <w:rFonts w:hint="eastAsia" w:ascii="宋体" w:hAnsi="宋体"/>
          <w:color w:val="000000"/>
          <w:sz w:val="24"/>
          <w:szCs w:val="24"/>
          <w:lang w:eastAsia="zh-CN"/>
        </w:rPr>
        <w:t>分别</w:t>
      </w:r>
      <w:r>
        <w:rPr>
          <w:rFonts w:hint="eastAsia" w:ascii="宋体" w:hAnsi="宋体"/>
          <w:color w:val="000000"/>
          <w:sz w:val="24"/>
          <w:szCs w:val="24"/>
        </w:rPr>
        <w:t>对</w:t>
      </w:r>
      <w:r>
        <w:rPr>
          <w:rFonts w:hint="eastAsia" w:ascii="宋体" w:hAnsi="宋体"/>
          <w:color w:val="000000"/>
          <w:sz w:val="24"/>
          <w:szCs w:val="24"/>
          <w:lang w:val="en-US" w:eastAsia="zh-CN"/>
        </w:rPr>
        <w:t>3个系统</w:t>
      </w:r>
      <w:r>
        <w:rPr>
          <w:rFonts w:hint="eastAsia" w:ascii="宋体" w:hAnsi="宋体"/>
          <w:color w:val="000000"/>
          <w:sz w:val="24"/>
          <w:szCs w:val="24"/>
        </w:rPr>
        <w:t>等保测评结果的</w:t>
      </w:r>
      <w:r>
        <w:rPr>
          <w:rFonts w:hint="eastAsia" w:ascii="宋体" w:hAnsi="宋体"/>
          <w:sz w:val="24"/>
        </w:rPr>
        <w:t>备案与检查后的回执证明。</w:t>
      </w:r>
    </w:p>
    <w:p>
      <w:pPr>
        <w:spacing w:line="360" w:lineRule="auto"/>
        <w:ind w:firstLine="482" w:firstLineChars="200"/>
        <w:jc w:val="left"/>
        <w:rPr>
          <w:rFonts w:hint="eastAsia" w:ascii="宋体" w:hAnsi="宋体"/>
          <w:b/>
          <w:color w:val="000000"/>
          <w:sz w:val="24"/>
          <w:szCs w:val="24"/>
        </w:rPr>
      </w:pPr>
      <w:r>
        <w:rPr>
          <w:rFonts w:hint="eastAsia" w:ascii="宋体" w:hAnsi="宋体"/>
          <w:b/>
          <w:color w:val="000000"/>
          <w:sz w:val="24"/>
          <w:szCs w:val="24"/>
        </w:rPr>
        <w:t>（</w:t>
      </w:r>
      <w:r>
        <w:rPr>
          <w:rFonts w:hint="eastAsia" w:ascii="宋体" w:hAnsi="宋体"/>
          <w:b/>
          <w:color w:val="000000"/>
          <w:sz w:val="24"/>
          <w:szCs w:val="24"/>
          <w:lang w:val="en-US" w:eastAsia="zh-CN"/>
        </w:rPr>
        <w:t>3</w:t>
      </w:r>
      <w:r>
        <w:rPr>
          <w:rFonts w:hint="eastAsia" w:ascii="宋体" w:hAnsi="宋体"/>
          <w:b/>
          <w:color w:val="000000"/>
          <w:sz w:val="24"/>
          <w:szCs w:val="24"/>
        </w:rPr>
        <w:t>）</w:t>
      </w:r>
      <w:r>
        <w:rPr>
          <w:rFonts w:hint="eastAsia" w:ascii="宋体" w:hAnsi="宋体"/>
          <w:b/>
          <w:color w:val="000000"/>
          <w:sz w:val="24"/>
          <w:szCs w:val="24"/>
          <w:lang w:val="en-US" w:eastAsia="zh-CN"/>
        </w:rPr>
        <w:t>安全检测</w:t>
      </w:r>
      <w:r>
        <w:rPr>
          <w:rFonts w:hint="eastAsia" w:ascii="宋体" w:hAnsi="宋体"/>
          <w:b/>
          <w:color w:val="000000"/>
          <w:sz w:val="24"/>
          <w:szCs w:val="24"/>
        </w:rPr>
        <w:t>报告</w:t>
      </w:r>
    </w:p>
    <w:p>
      <w:pPr>
        <w:pStyle w:val="2"/>
        <w:ind w:firstLine="418" w:firstLineChars="0"/>
        <w:rPr>
          <w:rFonts w:hint="eastAsia"/>
        </w:rPr>
      </w:pPr>
      <w:r>
        <w:rPr>
          <w:rFonts w:hint="eastAsia" w:ascii="宋体" w:hAnsi="宋体"/>
          <w:sz w:val="24"/>
        </w:rPr>
        <w:t>提供</w:t>
      </w:r>
      <w:r>
        <w:rPr>
          <w:rFonts w:hint="eastAsia" w:ascii="宋体" w:hAnsi="宋体"/>
          <w:sz w:val="24"/>
          <w:lang w:val="en-US" w:eastAsia="zh-CN"/>
        </w:rPr>
        <w:t>6个系统安全检测报告</w:t>
      </w:r>
      <w:r>
        <w:rPr>
          <w:rFonts w:hint="eastAsia" w:ascii="宋体" w:hAnsi="宋体"/>
          <w:sz w:val="24"/>
        </w:rPr>
        <w:t>。</w:t>
      </w:r>
    </w:p>
    <w:p>
      <w:pPr>
        <w:pStyle w:val="4"/>
        <w:bidi w:val="0"/>
      </w:pPr>
      <w:r>
        <w:rPr>
          <w:rFonts w:hint="eastAsia"/>
        </w:rPr>
        <w:t>付款方式说明</w:t>
      </w:r>
    </w:p>
    <w:p>
      <w:pPr>
        <w:pStyle w:val="17"/>
        <w:tabs>
          <w:tab w:val="left" w:pos="720"/>
        </w:tabs>
        <w:spacing w:line="360" w:lineRule="auto"/>
        <w:ind w:firstLine="480" w:firstLineChars="200"/>
        <w:rPr>
          <w:rFonts w:ascii="宋体" w:hAnsi="宋体"/>
          <w:sz w:val="24"/>
        </w:rPr>
      </w:pPr>
      <w:r>
        <w:rPr>
          <w:rFonts w:hint="eastAsia" w:ascii="宋体" w:hAnsi="宋体"/>
          <w:sz w:val="24"/>
        </w:rPr>
        <w:t>本合同的每笔款项以人民币支票方式支付，项目阶段工作完成并提交成果文件后，凭以下资料：</w:t>
      </w:r>
    </w:p>
    <w:p>
      <w:pPr>
        <w:pStyle w:val="17"/>
        <w:tabs>
          <w:tab w:val="left" w:pos="720"/>
        </w:tabs>
        <w:spacing w:line="360" w:lineRule="auto"/>
        <w:ind w:firstLine="480" w:firstLineChars="200"/>
        <w:rPr>
          <w:rFonts w:ascii="宋体" w:hAnsi="宋体"/>
          <w:sz w:val="24"/>
        </w:rPr>
      </w:pPr>
      <w:r>
        <w:rPr>
          <w:rFonts w:hint="eastAsia" w:ascii="宋体" w:hAnsi="宋体"/>
          <w:sz w:val="24"/>
        </w:rPr>
        <w:t>1）合同；</w:t>
      </w:r>
    </w:p>
    <w:p>
      <w:pPr>
        <w:pStyle w:val="17"/>
        <w:tabs>
          <w:tab w:val="left" w:pos="720"/>
        </w:tabs>
        <w:spacing w:line="360" w:lineRule="auto"/>
        <w:ind w:firstLine="480" w:firstLineChars="200"/>
        <w:rPr>
          <w:rFonts w:ascii="宋体" w:hAnsi="宋体"/>
          <w:sz w:val="24"/>
        </w:rPr>
      </w:pPr>
      <w:r>
        <w:rPr>
          <w:rFonts w:hint="eastAsia" w:ascii="宋体" w:hAnsi="宋体"/>
          <w:sz w:val="24"/>
        </w:rPr>
        <w:t>2）中标供应商开具的正式发票复印件，加盖采购人公章；</w:t>
      </w:r>
    </w:p>
    <w:p>
      <w:pPr>
        <w:pStyle w:val="17"/>
        <w:tabs>
          <w:tab w:val="left" w:pos="720"/>
        </w:tabs>
        <w:spacing w:line="360" w:lineRule="auto"/>
        <w:ind w:firstLine="480" w:firstLineChars="200"/>
        <w:rPr>
          <w:rFonts w:hint="eastAsia" w:ascii="宋体" w:hAnsi="宋体"/>
          <w:sz w:val="24"/>
        </w:rPr>
      </w:pPr>
      <w:r>
        <w:rPr>
          <w:rFonts w:hint="eastAsia" w:ascii="宋体" w:hAnsi="宋体"/>
          <w:sz w:val="24"/>
        </w:rPr>
        <w:t>3）等保2.0测评报告书（加盖有权验收的管理部门的公章）。</w:t>
      </w:r>
    </w:p>
    <w:p>
      <w:pPr>
        <w:pStyle w:val="17"/>
        <w:tabs>
          <w:tab w:val="left" w:pos="720"/>
        </w:tabs>
        <w:spacing w:line="360" w:lineRule="auto"/>
        <w:ind w:firstLine="480" w:firstLineChars="200"/>
        <w:rPr>
          <w:rFonts w:hint="default" w:ascii="宋体" w:hAnsi="宋体" w:eastAsia="宋体"/>
          <w:sz w:val="24"/>
          <w:lang w:val="en-US" w:eastAsia="zh-CN"/>
        </w:rPr>
      </w:pPr>
      <w:r>
        <w:rPr>
          <w:rFonts w:hint="eastAsia" w:ascii="宋体" w:hAnsi="宋体"/>
          <w:sz w:val="24"/>
          <w:lang w:val="en-US" w:eastAsia="zh-CN"/>
        </w:rPr>
        <w:t>4</w:t>
      </w:r>
      <w:r>
        <w:rPr>
          <w:rFonts w:hint="eastAsia" w:ascii="宋体" w:hAnsi="宋体"/>
          <w:sz w:val="24"/>
        </w:rPr>
        <w:t>）</w:t>
      </w:r>
      <w:r>
        <w:rPr>
          <w:rFonts w:hint="eastAsia" w:ascii="宋体" w:hAnsi="宋体"/>
          <w:sz w:val="24"/>
          <w:lang w:val="en-US" w:eastAsia="zh-CN"/>
        </w:rPr>
        <w:t>上线安全检测报告</w:t>
      </w:r>
    </w:p>
    <w:p>
      <w:pPr>
        <w:pStyle w:val="17"/>
        <w:tabs>
          <w:tab w:val="left" w:pos="720"/>
        </w:tabs>
        <w:spacing w:line="360" w:lineRule="auto"/>
        <w:ind w:firstLine="480" w:firstLineChars="200"/>
        <w:rPr>
          <w:rFonts w:ascii="宋体" w:hAnsi="宋体"/>
          <w:sz w:val="24"/>
        </w:rPr>
      </w:pPr>
      <w:r>
        <w:rPr>
          <w:rFonts w:hint="eastAsia" w:ascii="宋体" w:hAnsi="宋体"/>
          <w:sz w:val="24"/>
        </w:rPr>
        <w:t>按下述步骤付款：</w:t>
      </w:r>
    </w:p>
    <w:p>
      <w:pPr>
        <w:pStyle w:val="17"/>
        <w:tabs>
          <w:tab w:val="left" w:pos="720"/>
        </w:tabs>
        <w:spacing w:line="360" w:lineRule="auto"/>
        <w:ind w:left="105" w:leftChars="50" w:firstLine="360" w:firstLineChars="150"/>
        <w:rPr>
          <w:rFonts w:ascii="宋体" w:hAnsi="宋体"/>
          <w:sz w:val="24"/>
        </w:rPr>
      </w:pPr>
      <w:r>
        <w:rPr>
          <w:rFonts w:hint="eastAsia" w:ascii="宋体" w:hAnsi="宋体"/>
          <w:sz w:val="24"/>
        </w:rPr>
        <w:t>1）合同签订</w:t>
      </w:r>
      <w:r>
        <w:rPr>
          <w:rFonts w:hint="eastAsia" w:ascii="宋体" w:hAnsi="宋体"/>
          <w:sz w:val="24"/>
          <w:lang w:val="en-US" w:eastAsia="zh-CN"/>
        </w:rPr>
        <w:t>2</w:t>
      </w:r>
      <w:r>
        <w:rPr>
          <w:rFonts w:hint="eastAsia" w:ascii="宋体" w:hAnsi="宋体"/>
          <w:sz w:val="24"/>
        </w:rPr>
        <w:t>0个工作日内由付款单位向中标供应商支付合同总金额的 50%（采购人由于财政付款手续等原因造成的延期付款免责）；</w:t>
      </w:r>
    </w:p>
    <w:p>
      <w:pPr>
        <w:pStyle w:val="17"/>
        <w:tabs>
          <w:tab w:val="left" w:pos="720"/>
        </w:tabs>
        <w:spacing w:line="360" w:lineRule="auto"/>
        <w:ind w:firstLine="480" w:firstLineChars="200"/>
        <w:rPr>
          <w:rFonts w:hint="eastAsia" w:ascii="宋体" w:hAnsi="宋体" w:eastAsia="宋体"/>
          <w:sz w:val="24"/>
          <w:lang w:eastAsia="zh-CN"/>
        </w:rPr>
      </w:pPr>
      <w:r>
        <w:rPr>
          <w:rFonts w:hint="eastAsia" w:ascii="宋体" w:hAnsi="宋体"/>
          <w:sz w:val="24"/>
        </w:rPr>
        <w:t>2）</w:t>
      </w:r>
      <w:r>
        <w:rPr>
          <w:rFonts w:hint="eastAsia" w:ascii="宋体" w:hAnsi="宋体"/>
          <w:sz w:val="24"/>
          <w:lang w:val="en-US" w:eastAsia="zh-CN"/>
        </w:rPr>
        <w:t>3个系统</w:t>
      </w:r>
      <w:r>
        <w:rPr>
          <w:rFonts w:hint="eastAsia" w:ascii="宋体" w:hAnsi="宋体"/>
          <w:sz w:val="24"/>
        </w:rPr>
        <w:t>通过等保测试，出具等保2.0测评报告，并通过公安机关的备案与检查</w:t>
      </w:r>
      <w:r>
        <w:rPr>
          <w:rFonts w:hint="eastAsia" w:ascii="宋体" w:hAnsi="宋体"/>
          <w:sz w:val="24"/>
          <w:lang w:eastAsia="zh-CN"/>
        </w:rPr>
        <w:t>，</w:t>
      </w:r>
      <w:r>
        <w:rPr>
          <w:rFonts w:hint="eastAsia" w:ascii="宋体" w:hAnsi="宋体"/>
          <w:sz w:val="24"/>
          <w:lang w:val="en-US" w:eastAsia="zh-CN"/>
        </w:rPr>
        <w:t>6个系统通过安全检测，出具通过的安全检测出报告</w:t>
      </w:r>
      <w:r>
        <w:rPr>
          <w:rFonts w:hint="eastAsia" w:ascii="宋体" w:hAnsi="宋体"/>
          <w:sz w:val="24"/>
        </w:rPr>
        <w:t>20个工作日内，由付款单位向中标供应商支付合同总金额的 50%（采购人由于财政付款手续等原因造成的延期付款免责）</w:t>
      </w:r>
      <w:r>
        <w:rPr>
          <w:rFonts w:hint="eastAsia" w:ascii="宋体" w:hAnsi="宋体"/>
          <w:sz w:val="24"/>
          <w:lang w:eastAsia="zh-CN"/>
        </w:rPr>
        <w:t>。</w:t>
      </w:r>
      <w:bookmarkStart w:id="8" w:name="_GoBack"/>
      <w:bookmarkEnd w:id="8"/>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2AB71"/>
    <w:multiLevelType w:val="multilevel"/>
    <w:tmpl w:val="A7F2AB71"/>
    <w:lvl w:ilvl="0" w:tentative="0">
      <w:start w:val="1"/>
      <w:numFmt w:val="decimal"/>
      <w:pStyle w:val="3"/>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yMTI4NDdkNWVjMzU0MDM1OTg1NDJkMTVhZmYzMTIifQ=="/>
  </w:docVars>
  <w:rsids>
    <w:rsidRoot w:val="7EE54000"/>
    <w:rsid w:val="0078143C"/>
    <w:rsid w:val="053022E6"/>
    <w:rsid w:val="08FD1430"/>
    <w:rsid w:val="0BFB189F"/>
    <w:rsid w:val="0D411534"/>
    <w:rsid w:val="0DA90E87"/>
    <w:rsid w:val="0E546E95"/>
    <w:rsid w:val="11CC2B91"/>
    <w:rsid w:val="14C1329B"/>
    <w:rsid w:val="14EF7D5C"/>
    <w:rsid w:val="15BF0BF9"/>
    <w:rsid w:val="1B571346"/>
    <w:rsid w:val="1C547CE6"/>
    <w:rsid w:val="1EC02CB4"/>
    <w:rsid w:val="1FEB3581"/>
    <w:rsid w:val="26C5552D"/>
    <w:rsid w:val="278C3714"/>
    <w:rsid w:val="2ADD702A"/>
    <w:rsid w:val="2BAE3DE1"/>
    <w:rsid w:val="2C5D5807"/>
    <w:rsid w:val="2C886BBB"/>
    <w:rsid w:val="380F20AB"/>
    <w:rsid w:val="39162E05"/>
    <w:rsid w:val="3B5B5607"/>
    <w:rsid w:val="4190164C"/>
    <w:rsid w:val="42C15521"/>
    <w:rsid w:val="434B5F61"/>
    <w:rsid w:val="447B63D2"/>
    <w:rsid w:val="456F23DB"/>
    <w:rsid w:val="488B385F"/>
    <w:rsid w:val="4B1355B6"/>
    <w:rsid w:val="4B8D712D"/>
    <w:rsid w:val="4F951355"/>
    <w:rsid w:val="508954C0"/>
    <w:rsid w:val="56F748C1"/>
    <w:rsid w:val="5B3A093D"/>
    <w:rsid w:val="5EDD5EAD"/>
    <w:rsid w:val="60567148"/>
    <w:rsid w:val="61F47A98"/>
    <w:rsid w:val="658D75C3"/>
    <w:rsid w:val="66E96FF7"/>
    <w:rsid w:val="67ED4077"/>
    <w:rsid w:val="6EA81D9B"/>
    <w:rsid w:val="6ED77915"/>
    <w:rsid w:val="70995462"/>
    <w:rsid w:val="70D45302"/>
    <w:rsid w:val="72306704"/>
    <w:rsid w:val="72A77500"/>
    <w:rsid w:val="7497792D"/>
    <w:rsid w:val="7B3D737A"/>
    <w:rsid w:val="7B7B46C1"/>
    <w:rsid w:val="7ECB34D7"/>
    <w:rsid w:val="7EE54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4">
    <w:name w:val="heading 2"/>
    <w:basedOn w:val="1"/>
    <w:next w:val="1"/>
    <w:qFormat/>
    <w:uiPriority w:val="0"/>
    <w:pPr>
      <w:keepNext/>
      <w:keepLines/>
      <w:numPr>
        <w:ilvl w:val="1"/>
        <w:numId w:val="1"/>
      </w:numPr>
      <w:spacing w:before="260" w:after="260" w:line="416" w:lineRule="auto"/>
      <w:ind w:left="575" w:hanging="575"/>
      <w:outlineLvl w:val="1"/>
    </w:pPr>
    <w:rPr>
      <w:rFonts w:ascii="Arial" w:hAnsi="Arial" w:eastAsia="黑体"/>
      <w:b/>
      <w:bCs/>
      <w:sz w:val="32"/>
      <w:szCs w:val="32"/>
    </w:rPr>
  </w:style>
  <w:style w:type="paragraph" w:styleId="5">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6">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ind w:left="210"/>
      <w:jc w:val="left"/>
    </w:pPr>
    <w:rPr>
      <w:rFonts w:ascii="Calibri" w:hAnsi="Calibri" w:eastAsia="宋体" w:cs="Calibri"/>
      <w:smallCaps/>
      <w:sz w:val="20"/>
    </w:rPr>
  </w:style>
  <w:style w:type="paragraph" w:styleId="12">
    <w:name w:val="Normal Indent"/>
    <w:basedOn w:val="1"/>
    <w:qFormat/>
    <w:uiPriority w:val="0"/>
    <w:pPr>
      <w:autoSpaceDE w:val="0"/>
      <w:autoSpaceDN w:val="0"/>
      <w:spacing w:line="360" w:lineRule="auto"/>
      <w:ind w:left="181" w:firstLine="420"/>
    </w:pPr>
    <w:rPr>
      <w:rFonts w:ascii="Helvetica" w:hAnsi="Helvetica"/>
      <w:kern w:val="0"/>
      <w:sz w:val="20"/>
      <w:szCs w:val="20"/>
    </w:rPr>
  </w:style>
  <w:style w:type="paragraph" w:styleId="13">
    <w:name w:val="Body Text"/>
    <w:basedOn w:val="1"/>
    <w:qFormat/>
    <w:uiPriority w:val="0"/>
    <w:pPr>
      <w:spacing w:after="120" w:afterLines="0" w:afterAutospacing="0"/>
    </w:pPr>
  </w:style>
  <w:style w:type="paragraph" w:customStyle="1" w:styleId="1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7">
    <w:name w:val="正文_0"/>
    <w:qFormat/>
    <w:uiPriority w:val="0"/>
    <w:rPr>
      <w:rFonts w:ascii="Times New Roman" w:hAnsi="Times New Roman" w:eastAsia="宋体" w:cs="Times New Roman"/>
      <w:sz w:val="21"/>
      <w:lang w:val="en-US" w:eastAsia="zh-CN" w:bidi="ar-SA"/>
    </w:rPr>
  </w:style>
  <w:style w:type="character" w:customStyle="1" w:styleId="18">
    <w:name w:val="p141"/>
    <w:qFormat/>
    <w:uiPriority w:val="0"/>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5366</Words>
  <Characters>5489</Characters>
  <Lines>0</Lines>
  <Paragraphs>0</Paragraphs>
  <TotalTime>19</TotalTime>
  <ScaleCrop>false</ScaleCrop>
  <LinksUpToDate>false</LinksUpToDate>
  <CharactersWithSpaces>5521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2020-03-12T02:49:00Z</dcterms:created>
  <dc:creator>委屈太多王二狗</dc:creator>
  <cp:lastModifiedBy>采联-赵小姐</cp:lastModifiedBy>
  <dcterms:modified xsi:type="dcterms:W3CDTF">2022-11-16T02:05:11Z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366644C5A590419C99418B3D9753E4DE</vt:lpwstr>
  </property>
</Properties>
</file>