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江门市市场监督管理局网络安全服务项目合同</w:t>
      </w:r>
      <w:r>
        <w:rPr>
          <w:rFonts w:hint="eastAsia" w:ascii="宋体" w:hAnsi="宋体" w:eastAsia="宋体" w:cs="宋体"/>
          <w:b/>
          <w:color w:val="000000" w:themeColor="text1"/>
          <w:sz w:val="44"/>
          <w:szCs w:val="44"/>
          <w:highlight w:val="none"/>
          <w:shd w:val="clear" w:color="auto" w:fill="FFFFFF"/>
          <w:lang w:eastAsia="zh-CN"/>
          <w14:textFill>
            <w14:solidFill>
              <w14:schemeClr w14:val="tx1"/>
            </w14:solidFill>
          </w14:textFill>
        </w:rPr>
        <w:t>（草拟稿</w:t>
      </w:r>
      <w:bookmarkStart w:id="8" w:name="_GoBack"/>
      <w:bookmarkEnd w:id="8"/>
      <w:r>
        <w:rPr>
          <w:rFonts w:hint="eastAsia" w:ascii="宋体" w:hAnsi="宋体" w:eastAsia="宋体" w:cs="宋体"/>
          <w:b/>
          <w:color w:val="000000" w:themeColor="text1"/>
          <w:sz w:val="44"/>
          <w:szCs w:val="44"/>
          <w:highlight w:val="none"/>
          <w:shd w:val="clear" w:color="auto" w:fill="FFFFFF"/>
          <w:lang w:eastAsia="zh-CN"/>
          <w14:textFill>
            <w14:solidFill>
              <w14:schemeClr w14:val="tx1"/>
            </w14:solidFill>
          </w14:textFill>
        </w:rPr>
        <w:t>）</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市场监督管理局网络安全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pStyle w:val="2"/>
        <w:ind w:firstLine="560"/>
        <w:rPr>
          <w:rFonts w:ascii="仿宋" w:hAnsi="仿宋" w:eastAsia="仿宋" w:cs="仿宋"/>
          <w:sz w:val="28"/>
          <w:szCs w:val="28"/>
          <w:highlight w:val="none"/>
        </w:rPr>
      </w:pPr>
      <w:r>
        <w:rPr>
          <w:rFonts w:hint="eastAsia" w:ascii="仿宋" w:hAnsi="仿宋" w:eastAsia="仿宋" w:cs="仿宋"/>
          <w:sz w:val="28"/>
          <w:szCs w:val="28"/>
          <w:highlight w:val="none"/>
        </w:rPr>
        <w:t>甲方委托乙方对甲方3个信息系统安全等级保护二级的信息系统开展定级、备案及测评，对甲方指定的6个信息系统进行网络安全监测工作：</w:t>
      </w:r>
    </w:p>
    <w:tbl>
      <w:tblPr>
        <w:tblStyle w:val="11"/>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hemeFill="background1"/>
        <w:tblLayout w:type="fixed"/>
        <w:tblCellMar>
          <w:top w:w="0" w:type="dxa"/>
          <w:left w:w="108" w:type="dxa"/>
          <w:bottom w:w="0" w:type="dxa"/>
          <w:right w:w="108" w:type="dxa"/>
        </w:tblCellMar>
      </w:tblPr>
      <w:tblGrid>
        <w:gridCol w:w="3042"/>
        <w:gridCol w:w="3240"/>
        <w:gridCol w:w="108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hemeFill="background1"/>
          <w:tblCellMar>
            <w:top w:w="0" w:type="dxa"/>
            <w:left w:w="108" w:type="dxa"/>
            <w:bottom w:w="0" w:type="dxa"/>
            <w:right w:w="108" w:type="dxa"/>
          </w:tblCellMar>
        </w:tblPrEx>
        <w:trPr>
          <w:trHeight w:val="539" w:hRule="atLeast"/>
        </w:trPr>
        <w:tc>
          <w:tcPr>
            <w:tcW w:w="3042" w:type="dxa"/>
            <w:shd w:val="clear" w:color="000000" w:fill="FFFFFF" w:themeFill="background1"/>
            <w:vAlign w:val="center"/>
          </w:tcPr>
          <w:p>
            <w:pPr>
              <w:widowControl/>
              <w:jc w:val="center"/>
              <w:rPr>
                <w:rFonts w:ascii="仿宋_GB2312" w:hAnsi="仿宋_GB2312" w:cs="仿宋_GB2312"/>
                <w:b/>
                <w:kern w:val="0"/>
                <w:sz w:val="28"/>
                <w:szCs w:val="28"/>
                <w:highlight w:val="none"/>
              </w:rPr>
            </w:pPr>
            <w:r>
              <w:rPr>
                <w:rFonts w:hint="eastAsia" w:ascii="仿宋_GB2312" w:hAnsi="仿宋_GB2312" w:cs="仿宋_GB2312"/>
                <w:b/>
                <w:kern w:val="0"/>
                <w:sz w:val="28"/>
                <w:szCs w:val="28"/>
                <w:highlight w:val="none"/>
              </w:rPr>
              <w:t>名称</w:t>
            </w:r>
          </w:p>
        </w:tc>
        <w:tc>
          <w:tcPr>
            <w:tcW w:w="3240" w:type="dxa"/>
            <w:shd w:val="clear" w:color="000000" w:fill="FFFFFF" w:themeFill="background1"/>
            <w:vAlign w:val="center"/>
          </w:tcPr>
          <w:p>
            <w:pPr>
              <w:widowControl/>
              <w:jc w:val="center"/>
              <w:rPr>
                <w:rFonts w:ascii="仿宋_GB2312" w:hAnsi="仿宋_GB2312" w:cs="仿宋_GB2312"/>
                <w:b/>
                <w:kern w:val="0"/>
                <w:sz w:val="28"/>
                <w:szCs w:val="28"/>
                <w:highlight w:val="none"/>
              </w:rPr>
            </w:pPr>
            <w:r>
              <w:rPr>
                <w:rFonts w:hint="eastAsia" w:ascii="仿宋_GB2312" w:hAnsi="仿宋_GB2312" w:cs="仿宋_GB2312"/>
                <w:b/>
                <w:kern w:val="0"/>
                <w:sz w:val="28"/>
                <w:szCs w:val="28"/>
                <w:highlight w:val="none"/>
              </w:rPr>
              <w:t>内容</w:t>
            </w:r>
          </w:p>
        </w:tc>
        <w:tc>
          <w:tcPr>
            <w:tcW w:w="1080" w:type="dxa"/>
            <w:shd w:val="clear" w:color="000000" w:fill="FFFFFF" w:themeFill="background1"/>
            <w:vAlign w:val="center"/>
          </w:tcPr>
          <w:p>
            <w:pPr>
              <w:widowControl/>
              <w:jc w:val="center"/>
              <w:rPr>
                <w:rFonts w:ascii="仿宋_GB2312" w:hAnsi="仿宋_GB2312" w:cs="仿宋_GB2312"/>
                <w:b/>
                <w:kern w:val="0"/>
                <w:sz w:val="28"/>
                <w:szCs w:val="28"/>
                <w:highlight w:val="none"/>
              </w:rPr>
            </w:pPr>
            <w:r>
              <w:rPr>
                <w:rFonts w:hint="eastAsia" w:ascii="仿宋_GB2312" w:hAnsi="仿宋_GB2312" w:cs="仿宋_GB2312"/>
                <w:b/>
                <w:kern w:val="0"/>
                <w:sz w:val="28"/>
                <w:szCs w:val="28"/>
                <w:highlight w:val="none"/>
              </w:rPr>
              <w:t>数量</w:t>
            </w:r>
          </w:p>
        </w:tc>
        <w:tc>
          <w:tcPr>
            <w:tcW w:w="1448" w:type="dxa"/>
            <w:shd w:val="clear" w:color="000000" w:fill="FFFFFF" w:themeFill="background1"/>
            <w:vAlign w:val="center"/>
          </w:tcPr>
          <w:p>
            <w:pPr>
              <w:widowControl/>
              <w:jc w:val="center"/>
              <w:rPr>
                <w:rFonts w:ascii="仿宋_GB2312" w:hAnsi="仿宋_GB2312" w:cs="仿宋_GB2312"/>
                <w:b/>
                <w:kern w:val="0"/>
                <w:sz w:val="28"/>
                <w:szCs w:val="28"/>
                <w:highlight w:val="none"/>
              </w:rPr>
            </w:pPr>
            <w:r>
              <w:rPr>
                <w:rFonts w:hint="eastAsia" w:ascii="仿宋_GB2312" w:hAnsi="仿宋_GB2312" w:cs="仿宋_GB2312"/>
                <w:b/>
                <w:kern w:val="0"/>
                <w:sz w:val="28"/>
                <w:szCs w:val="28"/>
                <w:highlight w:val="none"/>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42" w:type="dxa"/>
            <w:shd w:val="clear" w:color="000000" w:fill="FFFFFF" w:themeFill="background1"/>
            <w:vAlign w:val="center"/>
          </w:tcPr>
          <w:p>
            <w:pPr>
              <w:jc w:val="center"/>
              <w:rPr>
                <w:rFonts w:ascii="仿宋_GB2312" w:hAnsi="仿宋_GB2312" w:cs="仿宋_GB2312"/>
                <w:kern w:val="0"/>
                <w:sz w:val="28"/>
                <w:szCs w:val="28"/>
                <w:highlight w:val="none"/>
              </w:rPr>
            </w:pPr>
            <w:r>
              <w:rPr>
                <w:rFonts w:hint="eastAsia" w:ascii="仿宋_GB2312" w:hAnsi="仿宋_GB2312" w:cs="仿宋_GB2312"/>
                <w:kern w:val="0"/>
                <w:sz w:val="28"/>
                <w:szCs w:val="28"/>
                <w:highlight w:val="none"/>
              </w:rPr>
              <w:t>江门市市场监督管理局网络安全等级保护测评</w:t>
            </w:r>
          </w:p>
        </w:tc>
        <w:tc>
          <w:tcPr>
            <w:tcW w:w="3240" w:type="dxa"/>
            <w:shd w:val="clear" w:color="000000" w:fill="FFFFFF" w:themeFill="background1"/>
            <w:vAlign w:val="center"/>
          </w:tcPr>
          <w:p>
            <w:pPr>
              <w:jc w:val="center"/>
              <w:rPr>
                <w:rFonts w:ascii="仿宋_GB2312" w:hAnsi="仿宋_GB2312" w:cs="仿宋_GB2312"/>
                <w:kern w:val="0"/>
                <w:sz w:val="28"/>
                <w:szCs w:val="28"/>
                <w:highlight w:val="none"/>
              </w:rPr>
            </w:pPr>
            <w:r>
              <w:rPr>
                <w:rFonts w:hint="eastAsia" w:ascii="仿宋_GB2312" w:hAnsi="仿宋_GB2312" w:cs="仿宋_GB2312"/>
                <w:sz w:val="28"/>
                <w:szCs w:val="28"/>
                <w:highlight w:val="none"/>
              </w:rPr>
              <w:t>包含</w:t>
            </w:r>
            <w:r>
              <w:rPr>
                <w:rFonts w:hint="eastAsia" w:ascii="仿宋_GB2312" w:hAnsi="仿宋_GB2312" w:cs="仿宋_GB2312"/>
                <w:kern w:val="0"/>
                <w:sz w:val="28"/>
                <w:szCs w:val="28"/>
                <w:highlight w:val="none"/>
              </w:rPr>
              <w:t>网络安全</w:t>
            </w:r>
            <w:r>
              <w:rPr>
                <w:rFonts w:hint="eastAsia" w:ascii="仿宋_GB2312" w:hAnsi="仿宋_GB2312" w:cs="仿宋_GB2312"/>
                <w:sz w:val="28"/>
                <w:szCs w:val="28"/>
                <w:highlight w:val="none"/>
              </w:rPr>
              <w:t>等级保护测评服务，</w:t>
            </w:r>
            <w:r>
              <w:rPr>
                <w:rFonts w:ascii="仿宋_GB2312" w:hAnsi="仿宋_GB2312" w:cs="仿宋_GB2312"/>
                <w:sz w:val="28"/>
                <w:szCs w:val="28"/>
                <w:highlight w:val="none"/>
              </w:rPr>
              <w:t>3个二级系统。</w:t>
            </w:r>
          </w:p>
        </w:tc>
        <w:tc>
          <w:tcPr>
            <w:tcW w:w="1080" w:type="dxa"/>
            <w:shd w:val="clear" w:color="000000" w:fill="FFFFFF" w:themeFill="background1"/>
            <w:vAlign w:val="center"/>
          </w:tcPr>
          <w:p>
            <w:pPr>
              <w:jc w:val="center"/>
              <w:rPr>
                <w:rFonts w:ascii="仿宋_GB2312" w:hAnsi="仿宋_GB2312" w:cs="仿宋_GB2312"/>
                <w:kern w:val="0"/>
                <w:sz w:val="28"/>
                <w:szCs w:val="28"/>
                <w:highlight w:val="none"/>
              </w:rPr>
            </w:pPr>
            <w:r>
              <w:rPr>
                <w:rFonts w:ascii="仿宋_GB2312" w:hAnsi="仿宋_GB2312" w:cs="仿宋_GB2312"/>
                <w:kern w:val="0"/>
                <w:sz w:val="28"/>
                <w:szCs w:val="28"/>
                <w:highlight w:val="none"/>
              </w:rPr>
              <w:t>1项</w:t>
            </w:r>
          </w:p>
        </w:tc>
        <w:tc>
          <w:tcPr>
            <w:tcW w:w="1448" w:type="dxa"/>
            <w:shd w:val="clear" w:color="000000" w:fill="FFFFFF" w:themeFill="background1"/>
            <w:vAlign w:val="center"/>
          </w:tcPr>
          <w:p>
            <w:pPr>
              <w:jc w:val="center"/>
              <w:rPr>
                <w:rFonts w:ascii="仿宋_GB2312" w:hAnsi="仿宋_GB2312" w:cs="仿宋_GB2312"/>
                <w:kern w:val="0"/>
                <w:sz w:val="28"/>
                <w:szCs w:val="28"/>
                <w:highlight w:val="none"/>
              </w:rPr>
            </w:pPr>
            <w:r>
              <w:rPr>
                <w:rFonts w:ascii="仿宋_GB2312" w:hAnsi="仿宋_GB2312" w:cs="仿宋_GB2312"/>
                <w:kern w:val="0"/>
                <w:sz w:val="28"/>
                <w:szCs w:val="28"/>
                <w:highlight w:val="none"/>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42" w:type="dxa"/>
            <w:shd w:val="clear" w:color="000000" w:fill="FFFFFF" w:themeFill="background1"/>
            <w:vAlign w:val="center"/>
          </w:tcPr>
          <w:p>
            <w:pPr>
              <w:jc w:val="center"/>
              <w:rPr>
                <w:rFonts w:ascii="仿宋_GB2312" w:hAnsi="仿宋_GB2312" w:cs="仿宋_GB2312"/>
                <w:kern w:val="0"/>
                <w:sz w:val="28"/>
                <w:szCs w:val="28"/>
                <w:highlight w:val="none"/>
              </w:rPr>
            </w:pPr>
            <w:r>
              <w:rPr>
                <w:rFonts w:hint="eastAsia" w:ascii="仿宋_GB2312" w:hAnsi="仿宋_GB2312" w:cs="仿宋_GB2312"/>
                <w:kern w:val="0"/>
                <w:sz w:val="28"/>
                <w:szCs w:val="28"/>
                <w:highlight w:val="none"/>
              </w:rPr>
              <w:t>江门市市场监督管理局信息系统安全检测</w:t>
            </w:r>
          </w:p>
        </w:tc>
        <w:tc>
          <w:tcPr>
            <w:tcW w:w="3240" w:type="dxa"/>
            <w:shd w:val="clear" w:color="000000" w:fill="FFFFFF" w:themeFill="background1"/>
            <w:vAlign w:val="center"/>
          </w:tcPr>
          <w:p>
            <w:pPr>
              <w:jc w:val="center"/>
              <w:rPr>
                <w:rFonts w:ascii="仿宋_GB2312" w:hAnsi="仿宋_GB2312" w:cs="仿宋_GB2312"/>
                <w:kern w:val="0"/>
                <w:sz w:val="28"/>
                <w:szCs w:val="28"/>
                <w:highlight w:val="none"/>
              </w:rPr>
            </w:pPr>
            <w:r>
              <w:rPr>
                <w:rFonts w:hint="eastAsia" w:ascii="仿宋_GB2312" w:hAnsi="仿宋_GB2312" w:cs="仿宋_GB2312"/>
                <w:kern w:val="0"/>
                <w:sz w:val="28"/>
                <w:szCs w:val="28"/>
                <w:highlight w:val="none"/>
              </w:rPr>
              <w:t>对</w:t>
            </w:r>
            <w:r>
              <w:rPr>
                <w:rFonts w:ascii="仿宋_GB2312" w:hAnsi="仿宋_GB2312" w:cs="仿宋_GB2312"/>
                <w:kern w:val="0"/>
                <w:sz w:val="28"/>
                <w:szCs w:val="28"/>
                <w:highlight w:val="none"/>
              </w:rPr>
              <w:t>6个系统进行网络安全检测（漏洞扫描、渗透测试）</w:t>
            </w:r>
          </w:p>
        </w:tc>
        <w:tc>
          <w:tcPr>
            <w:tcW w:w="1080" w:type="dxa"/>
            <w:shd w:val="clear" w:color="000000" w:fill="FFFFFF" w:themeFill="background1"/>
            <w:vAlign w:val="center"/>
          </w:tcPr>
          <w:p>
            <w:pPr>
              <w:jc w:val="center"/>
              <w:rPr>
                <w:rFonts w:ascii="仿宋_GB2312" w:hAnsi="仿宋_GB2312" w:cs="仿宋_GB2312"/>
                <w:kern w:val="0"/>
                <w:sz w:val="28"/>
                <w:szCs w:val="28"/>
                <w:highlight w:val="none"/>
              </w:rPr>
            </w:pPr>
            <w:r>
              <w:rPr>
                <w:rFonts w:ascii="仿宋_GB2312" w:hAnsi="仿宋_GB2312" w:cs="仿宋_GB2312"/>
                <w:kern w:val="0"/>
                <w:sz w:val="28"/>
                <w:szCs w:val="28"/>
                <w:highlight w:val="none"/>
              </w:rPr>
              <w:t>1项</w:t>
            </w:r>
          </w:p>
        </w:tc>
        <w:tc>
          <w:tcPr>
            <w:tcW w:w="1448" w:type="dxa"/>
            <w:shd w:val="clear" w:color="000000" w:fill="FFFFFF" w:themeFill="background1"/>
            <w:vAlign w:val="center"/>
          </w:tcPr>
          <w:p>
            <w:pPr>
              <w:jc w:val="center"/>
              <w:rPr>
                <w:rFonts w:ascii="仿宋_GB2312" w:hAnsi="仿宋_GB2312" w:cs="仿宋_GB2312"/>
                <w:kern w:val="0"/>
                <w:sz w:val="28"/>
                <w:szCs w:val="28"/>
                <w:highlight w:val="none"/>
              </w:rPr>
            </w:pPr>
            <w:r>
              <w:rPr>
                <w:rFonts w:ascii="仿宋_GB2312" w:hAnsi="仿宋_GB2312" w:cs="仿宋_GB2312"/>
                <w:kern w:val="0"/>
                <w:sz w:val="28"/>
                <w:szCs w:val="28"/>
                <w:highlight w:val="none"/>
              </w:rPr>
              <w:t>12个月</w:t>
            </w:r>
          </w:p>
        </w:tc>
      </w:tr>
    </w:tbl>
    <w:p>
      <w:pPr>
        <w:pStyle w:val="2"/>
        <w:ind w:firstLine="0" w:firstLineChars="0"/>
        <w:rPr>
          <w:rFonts w:ascii="仿宋" w:hAnsi="仿宋" w:eastAsia="仿宋"/>
          <w:b/>
          <w:sz w:val="28"/>
          <w:szCs w:val="28"/>
          <w:highlight w:val="none"/>
        </w:rPr>
      </w:pPr>
      <w:r>
        <w:rPr>
          <w:rFonts w:hint="eastAsia" w:ascii="仿宋" w:hAnsi="仿宋" w:eastAsia="仿宋"/>
          <w:b/>
          <w:sz w:val="28"/>
          <w:szCs w:val="28"/>
          <w:highlight w:val="none"/>
        </w:rPr>
        <w:t>第二条  项目要求</w:t>
      </w:r>
    </w:p>
    <w:p>
      <w:pPr>
        <w:pStyle w:val="2"/>
        <w:numPr>
          <w:ilvl w:val="0"/>
          <w:numId w:val="1"/>
        </w:numPr>
        <w:ind w:left="0" w:firstLine="562"/>
        <w:rPr>
          <w:rFonts w:ascii="仿宋" w:hAnsi="仿宋" w:eastAsia="仿宋"/>
          <w:b/>
          <w:sz w:val="28"/>
          <w:szCs w:val="28"/>
          <w:highlight w:val="none"/>
        </w:rPr>
      </w:pPr>
      <w:r>
        <w:rPr>
          <w:rFonts w:hint="eastAsia" w:ascii="仿宋" w:hAnsi="仿宋" w:eastAsia="仿宋"/>
          <w:b/>
          <w:sz w:val="28"/>
          <w:szCs w:val="28"/>
          <w:highlight w:val="none"/>
        </w:rPr>
        <w:t>等保测评内容</w:t>
      </w:r>
    </w:p>
    <w:tbl>
      <w:tblPr>
        <w:tblStyle w:val="11"/>
        <w:tblW w:w="8143" w:type="dxa"/>
        <w:tblInd w:w="101" w:type="dxa"/>
        <w:tblLayout w:type="fixed"/>
        <w:tblCellMar>
          <w:top w:w="0" w:type="dxa"/>
          <w:left w:w="0" w:type="dxa"/>
          <w:bottom w:w="0" w:type="dxa"/>
          <w:right w:w="0" w:type="dxa"/>
        </w:tblCellMar>
      </w:tblPr>
      <w:tblGrid>
        <w:gridCol w:w="1228"/>
        <w:gridCol w:w="2625"/>
        <w:gridCol w:w="2010"/>
        <w:gridCol w:w="2280"/>
      </w:tblGrid>
      <w:tr>
        <w:tblPrEx>
          <w:tblCellMar>
            <w:top w:w="0" w:type="dxa"/>
            <w:left w:w="0" w:type="dxa"/>
            <w:bottom w:w="0" w:type="dxa"/>
            <w:right w:w="0" w:type="dxa"/>
          </w:tblCellMar>
        </w:tblPrEx>
        <w:trPr>
          <w:trHeight w:val="548" w:hRule="exact"/>
        </w:trPr>
        <w:tc>
          <w:tcPr>
            <w:tcW w:w="122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cs="宋体"/>
                <w:kern w:val="0"/>
                <w:sz w:val="28"/>
                <w:szCs w:val="28"/>
                <w:highlight w:val="none"/>
                <w:lang w:eastAsia="en-US"/>
              </w:rPr>
            </w:pPr>
            <w:r>
              <w:rPr>
                <w:rFonts w:ascii="仿宋" w:hAnsi="仿宋" w:eastAsia="仿宋" w:cs="宋体"/>
                <w:b/>
                <w:bCs/>
                <w:kern w:val="0"/>
                <w:sz w:val="28"/>
                <w:szCs w:val="28"/>
                <w:highlight w:val="none"/>
                <w:lang w:eastAsia="en-US"/>
              </w:rPr>
              <w:t>序号</w:t>
            </w:r>
          </w:p>
        </w:tc>
        <w:tc>
          <w:tcPr>
            <w:tcW w:w="2625"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cs="宋体"/>
                <w:kern w:val="0"/>
                <w:sz w:val="28"/>
                <w:szCs w:val="28"/>
                <w:highlight w:val="none"/>
                <w:lang w:eastAsia="en-US"/>
              </w:rPr>
            </w:pPr>
            <w:r>
              <w:rPr>
                <w:rFonts w:ascii="仿宋" w:hAnsi="仿宋" w:eastAsia="仿宋" w:cs="宋体"/>
                <w:b/>
                <w:bCs/>
                <w:kern w:val="0"/>
                <w:sz w:val="28"/>
                <w:szCs w:val="28"/>
                <w:highlight w:val="none"/>
                <w:lang w:eastAsia="en-US"/>
              </w:rPr>
              <w:t>系统名称</w:t>
            </w:r>
          </w:p>
        </w:tc>
        <w:tc>
          <w:tcPr>
            <w:tcW w:w="201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cs="宋体"/>
                <w:kern w:val="0"/>
                <w:sz w:val="28"/>
                <w:szCs w:val="28"/>
                <w:highlight w:val="none"/>
              </w:rPr>
            </w:pPr>
            <w:r>
              <w:rPr>
                <w:rFonts w:ascii="仿宋" w:hAnsi="仿宋" w:eastAsia="仿宋" w:cs="宋体"/>
                <w:b/>
                <w:bCs/>
                <w:kern w:val="0"/>
                <w:sz w:val="28"/>
                <w:szCs w:val="28"/>
                <w:highlight w:val="none"/>
                <w:lang w:eastAsia="en-US"/>
              </w:rPr>
              <w:t>系统安全等级</w:t>
            </w:r>
          </w:p>
        </w:tc>
        <w:tc>
          <w:tcPr>
            <w:tcW w:w="228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服务内容</w:t>
            </w:r>
          </w:p>
        </w:tc>
      </w:tr>
      <w:tr>
        <w:tblPrEx>
          <w:tblCellMar>
            <w:top w:w="0" w:type="dxa"/>
            <w:left w:w="0" w:type="dxa"/>
            <w:bottom w:w="0" w:type="dxa"/>
            <w:right w:w="0" w:type="dxa"/>
          </w:tblCellMar>
        </w:tblPrEx>
        <w:trPr>
          <w:trHeight w:val="950" w:hRule="exact"/>
        </w:trPr>
        <w:tc>
          <w:tcPr>
            <w:tcW w:w="1228" w:type="dxa"/>
            <w:tcBorders>
              <w:top w:val="single" w:color="000000" w:sz="6" w:space="0"/>
              <w:left w:val="single" w:color="000000" w:sz="6" w:space="0"/>
              <w:bottom w:val="single" w:color="000000" w:sz="6" w:space="0"/>
              <w:right w:val="single" w:color="auto" w:sz="4" w:space="0"/>
            </w:tcBorders>
            <w:vAlign w:val="center"/>
          </w:tcPr>
          <w:p>
            <w:pPr>
              <w:spacing w:line="360" w:lineRule="exact"/>
              <w:ind w:left="30"/>
              <w:jc w:val="center"/>
              <w:rPr>
                <w:rFonts w:ascii="仿宋" w:hAnsi="仿宋" w:eastAsia="仿宋" w:cs="宋体"/>
                <w:kern w:val="0"/>
                <w:sz w:val="28"/>
                <w:szCs w:val="28"/>
                <w:highlight w:val="none"/>
                <w:lang w:eastAsia="en-US"/>
              </w:rPr>
            </w:pPr>
            <w:r>
              <w:rPr>
                <w:rFonts w:hint="eastAsia" w:ascii="仿宋" w:hAnsi="仿宋" w:eastAsia="仿宋" w:cs="宋体"/>
                <w:kern w:val="0"/>
                <w:sz w:val="28"/>
                <w:szCs w:val="28"/>
                <w:highlight w:val="none"/>
                <w:lang w:eastAsia="en-US"/>
              </w:rPr>
              <w:t>1</w:t>
            </w:r>
          </w:p>
        </w:tc>
        <w:tc>
          <w:tcPr>
            <w:tcW w:w="2625"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企业档案电子化综合管理系统</w:t>
            </w:r>
          </w:p>
        </w:tc>
        <w:tc>
          <w:tcPr>
            <w:tcW w:w="201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二级</w:t>
            </w:r>
          </w:p>
        </w:tc>
        <w:tc>
          <w:tcPr>
            <w:tcW w:w="228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等级保护测评</w:t>
            </w:r>
          </w:p>
        </w:tc>
      </w:tr>
      <w:tr>
        <w:tblPrEx>
          <w:tblCellMar>
            <w:top w:w="0" w:type="dxa"/>
            <w:left w:w="0" w:type="dxa"/>
            <w:bottom w:w="0" w:type="dxa"/>
            <w:right w:w="0" w:type="dxa"/>
          </w:tblCellMar>
        </w:tblPrEx>
        <w:trPr>
          <w:trHeight w:val="940" w:hRule="exact"/>
        </w:trPr>
        <w:tc>
          <w:tcPr>
            <w:tcW w:w="1228" w:type="dxa"/>
            <w:tcBorders>
              <w:top w:val="single" w:color="000000" w:sz="6" w:space="0"/>
              <w:left w:val="single" w:color="000000" w:sz="6" w:space="0"/>
              <w:bottom w:val="single" w:color="000000" w:sz="6" w:space="0"/>
              <w:right w:val="single" w:color="auto" w:sz="4"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2</w:t>
            </w:r>
          </w:p>
        </w:tc>
        <w:tc>
          <w:tcPr>
            <w:tcW w:w="2625"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江门市电子营业执照系统验证前置系统</w:t>
            </w:r>
          </w:p>
        </w:tc>
        <w:tc>
          <w:tcPr>
            <w:tcW w:w="201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二级</w:t>
            </w:r>
          </w:p>
        </w:tc>
        <w:tc>
          <w:tcPr>
            <w:tcW w:w="228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等级保护测评</w:t>
            </w:r>
          </w:p>
        </w:tc>
      </w:tr>
      <w:tr>
        <w:tblPrEx>
          <w:tblCellMar>
            <w:top w:w="0" w:type="dxa"/>
            <w:left w:w="0" w:type="dxa"/>
            <w:bottom w:w="0" w:type="dxa"/>
            <w:right w:w="0" w:type="dxa"/>
          </w:tblCellMar>
        </w:tblPrEx>
        <w:trPr>
          <w:trHeight w:val="790" w:hRule="exact"/>
        </w:trPr>
        <w:tc>
          <w:tcPr>
            <w:tcW w:w="1228" w:type="dxa"/>
            <w:tcBorders>
              <w:top w:val="single" w:color="000000" w:sz="6" w:space="0"/>
              <w:left w:val="single" w:color="000000" w:sz="6" w:space="0"/>
              <w:bottom w:val="single" w:color="000000" w:sz="6" w:space="0"/>
              <w:right w:val="single" w:color="auto" w:sz="4"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3</w:t>
            </w:r>
          </w:p>
        </w:tc>
        <w:tc>
          <w:tcPr>
            <w:tcW w:w="2625"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12315热线对接12345服务平台</w:t>
            </w:r>
          </w:p>
        </w:tc>
        <w:tc>
          <w:tcPr>
            <w:tcW w:w="201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二级</w:t>
            </w:r>
          </w:p>
        </w:tc>
        <w:tc>
          <w:tcPr>
            <w:tcW w:w="2280" w:type="dxa"/>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等级保护测评</w:t>
            </w:r>
          </w:p>
        </w:tc>
      </w:tr>
    </w:tbl>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本项目按照等级保护2.0相关标准的要求：</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第一步：乙方协助甲方完成系统定级备案工作；</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第二步：乙方对甲方的信息系统进行测试评估、分析差距、输出差距测评报告和安全整改建议；</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第三步：甲方根据差距测评报告与安全整改建议实施安全整改；乙方需协助甲方按照等级保护相关标准完善安全管理制度；</w:t>
      </w:r>
    </w:p>
    <w:p>
      <w:pPr>
        <w:spacing w:line="360" w:lineRule="auto"/>
        <w:ind w:firstLine="560" w:firstLineChars="200"/>
        <w:jc w:val="left"/>
        <w:rPr>
          <w:rFonts w:ascii="仿宋" w:hAnsi="仿宋" w:eastAsia="仿宋"/>
          <w:b/>
          <w:sz w:val="28"/>
          <w:szCs w:val="28"/>
          <w:highlight w:val="none"/>
        </w:rPr>
      </w:pPr>
      <w:r>
        <w:rPr>
          <w:rFonts w:hint="eastAsia" w:ascii="仿宋" w:hAnsi="仿宋" w:eastAsia="仿宋"/>
          <w:sz w:val="28"/>
          <w:szCs w:val="28"/>
          <w:highlight w:val="none"/>
        </w:rPr>
        <w:t>第四步：乙方再次对甲方的信息系统进行测试评估、输出2.0验收测评报告，并协助甲方通过公安机关的备案与检查。</w:t>
      </w:r>
    </w:p>
    <w:p>
      <w:pPr>
        <w:pStyle w:val="2"/>
        <w:numPr>
          <w:ilvl w:val="0"/>
          <w:numId w:val="1"/>
        </w:numPr>
        <w:ind w:left="0" w:firstLine="562"/>
        <w:rPr>
          <w:rFonts w:ascii="仿宋" w:hAnsi="仿宋" w:eastAsia="仿宋"/>
          <w:b/>
          <w:sz w:val="28"/>
          <w:szCs w:val="28"/>
          <w:highlight w:val="none"/>
        </w:rPr>
      </w:pPr>
      <w:r>
        <w:rPr>
          <w:rFonts w:hint="eastAsia" w:ascii="仿宋" w:hAnsi="仿宋" w:eastAsia="仿宋"/>
          <w:b/>
          <w:sz w:val="28"/>
          <w:szCs w:val="28"/>
          <w:highlight w:val="none"/>
        </w:rPr>
        <w:t>安全检测内容</w:t>
      </w:r>
    </w:p>
    <w:p>
      <w:pPr>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主要内容：安全检测主要在技术层面对6个指定信息系统进行安全评估。评估内容包括主机安全、应用安全和数据安全等，内容如下：</w:t>
      </w:r>
    </w:p>
    <w:p>
      <w:pPr>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1.主机安全：通过人员访谈、配置检查和工具测试的方式评估信息系统的主机安全保障情况，包括：身份鉴别、访问控制、安全审计、入侵防范、恶意代码防范、资源控制、剩余信息保护等内容。</w:t>
      </w:r>
    </w:p>
    <w:p>
      <w:pPr>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2.应用安全：通过人员访谈、配置检查和工具测试的方式评估信息系统的应用安全保障情况，包括：身份鉴别、访问控制、安全审计、通信完整性、通信保密性、软件容错、资源控制、剩余信息保护、抗抵赖等内容。</w:t>
      </w:r>
    </w:p>
    <w:p>
      <w:pPr>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3.数据安全：通过人员访谈、配置检查的方式测评信息系统的数据安全保障情况，包括：数据完整性、数据保密性、备份和恢复等内容。</w:t>
      </w:r>
    </w:p>
    <w:tbl>
      <w:tblPr>
        <w:tblStyle w:val="11"/>
        <w:tblW w:w="8586" w:type="dxa"/>
        <w:jc w:val="center"/>
        <w:tblLayout w:type="fixed"/>
        <w:tblCellMar>
          <w:top w:w="0" w:type="dxa"/>
          <w:left w:w="108" w:type="dxa"/>
          <w:bottom w:w="0" w:type="dxa"/>
          <w:right w:w="108" w:type="dxa"/>
        </w:tblCellMar>
      </w:tblPr>
      <w:tblGrid>
        <w:gridCol w:w="668"/>
        <w:gridCol w:w="1753"/>
        <w:gridCol w:w="3195"/>
        <w:gridCol w:w="2970"/>
      </w:tblGrid>
      <w:tr>
        <w:tblPrEx>
          <w:tblCellMar>
            <w:top w:w="0" w:type="dxa"/>
            <w:left w:w="108" w:type="dxa"/>
            <w:bottom w:w="0" w:type="dxa"/>
            <w:right w:w="108" w:type="dxa"/>
          </w:tblCellMar>
        </w:tblPrEx>
        <w:trPr>
          <w:trHeight w:val="216"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exact"/>
              <w:ind w:firstLine="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序号</w:t>
            </w:r>
          </w:p>
        </w:tc>
        <w:tc>
          <w:tcPr>
            <w:tcW w:w="1753" w:type="dxa"/>
            <w:tcBorders>
              <w:top w:val="single" w:color="auto" w:sz="4" w:space="0"/>
              <w:left w:val="nil"/>
              <w:bottom w:val="single" w:color="auto" w:sz="4" w:space="0"/>
              <w:right w:val="single" w:color="auto" w:sz="4" w:space="0"/>
            </w:tcBorders>
            <w:shd w:val="clear" w:color="auto" w:fill="FFFFFF"/>
            <w:vAlign w:val="center"/>
          </w:tcPr>
          <w:p>
            <w:pPr>
              <w:widowControl/>
              <w:spacing w:line="480" w:lineRule="exact"/>
              <w:ind w:firstLine="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建设内容</w:t>
            </w:r>
          </w:p>
        </w:tc>
        <w:tc>
          <w:tcPr>
            <w:tcW w:w="3195" w:type="dxa"/>
            <w:tcBorders>
              <w:top w:val="single" w:color="auto" w:sz="4" w:space="0"/>
              <w:left w:val="nil"/>
              <w:bottom w:val="single" w:color="auto" w:sz="4" w:space="0"/>
              <w:right w:val="single" w:color="auto" w:sz="4" w:space="0"/>
            </w:tcBorders>
            <w:shd w:val="clear" w:color="auto" w:fill="FFFFFF"/>
            <w:vAlign w:val="center"/>
          </w:tcPr>
          <w:p>
            <w:pPr>
              <w:widowControl/>
              <w:spacing w:line="480" w:lineRule="exact"/>
              <w:ind w:firstLine="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说明</w:t>
            </w:r>
          </w:p>
        </w:tc>
        <w:tc>
          <w:tcPr>
            <w:tcW w:w="2970" w:type="dxa"/>
            <w:tcBorders>
              <w:top w:val="single" w:color="auto" w:sz="4" w:space="0"/>
              <w:left w:val="nil"/>
              <w:bottom w:val="single" w:color="auto" w:sz="4" w:space="0"/>
              <w:right w:val="single" w:color="auto" w:sz="4" w:space="0"/>
            </w:tcBorders>
            <w:shd w:val="clear" w:color="auto" w:fill="FFFFFF"/>
            <w:vAlign w:val="center"/>
          </w:tcPr>
          <w:p>
            <w:pPr>
              <w:widowControl/>
              <w:spacing w:line="480" w:lineRule="exact"/>
              <w:ind w:firstLine="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备注</w:t>
            </w:r>
          </w:p>
        </w:tc>
      </w:tr>
      <w:tr>
        <w:tblPrEx>
          <w:tblCellMar>
            <w:top w:w="0" w:type="dxa"/>
            <w:left w:w="108" w:type="dxa"/>
            <w:bottom w:w="0" w:type="dxa"/>
            <w:right w:w="108" w:type="dxa"/>
          </w:tblCellMar>
        </w:tblPrEx>
        <w:trPr>
          <w:trHeight w:val="67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ind w:firstLine="0"/>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753"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ind w:firstLine="0"/>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信息系统安全检测服务</w:t>
            </w:r>
          </w:p>
        </w:tc>
        <w:tc>
          <w:tcPr>
            <w:tcW w:w="3195"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ind w:firstLine="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江门市市场监督管理局6个政务信息化系统进行安全检测。</w:t>
            </w:r>
          </w:p>
        </w:tc>
        <w:tc>
          <w:tcPr>
            <w:tcW w:w="2970" w:type="dxa"/>
            <w:tcBorders>
              <w:top w:val="single" w:color="auto" w:sz="4" w:space="0"/>
              <w:left w:val="nil"/>
              <w:bottom w:val="single" w:color="auto" w:sz="4" w:space="0"/>
              <w:right w:val="single" w:color="auto" w:sz="4" w:space="0"/>
            </w:tcBorders>
            <w:shd w:val="clear" w:color="auto" w:fill="auto"/>
            <w:vAlign w:val="center"/>
          </w:tcPr>
          <w:p>
            <w:pPr>
              <w:widowControl/>
              <w:spacing w:line="480" w:lineRule="exact"/>
              <w:ind w:firstLine="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6个信息系统安全检测内容包括：主机漏洞漏扫、应用系统渗透测试，并提供测评报告。</w:t>
            </w:r>
          </w:p>
        </w:tc>
      </w:tr>
    </w:tbl>
    <w:p>
      <w:pPr>
        <w:pStyle w:val="2"/>
        <w:numPr>
          <w:ilvl w:val="0"/>
          <w:numId w:val="1"/>
        </w:numPr>
        <w:spacing w:line="480" w:lineRule="exact"/>
        <w:ind w:left="0" w:firstLine="562"/>
        <w:rPr>
          <w:rFonts w:ascii="仿宋" w:hAnsi="仿宋" w:eastAsia="仿宋"/>
          <w:b/>
          <w:sz w:val="28"/>
          <w:szCs w:val="28"/>
          <w:highlight w:val="none"/>
        </w:rPr>
      </w:pPr>
      <w:r>
        <w:rPr>
          <w:rFonts w:hint="eastAsia" w:ascii="仿宋" w:hAnsi="仿宋" w:eastAsia="仿宋"/>
          <w:b/>
          <w:sz w:val="28"/>
          <w:szCs w:val="28"/>
          <w:highlight w:val="none"/>
        </w:rPr>
        <w:t>测评原则</w:t>
      </w:r>
    </w:p>
    <w:p>
      <w:pPr>
        <w:widowControl/>
        <w:spacing w:line="480" w:lineRule="exact"/>
        <w:ind w:firstLine="562" w:firstLineChars="200"/>
        <w:rPr>
          <w:rFonts w:ascii="仿宋" w:hAnsi="仿宋" w:eastAsia="仿宋"/>
          <w:b/>
          <w:bCs/>
          <w:kern w:val="0"/>
          <w:sz w:val="28"/>
          <w:szCs w:val="28"/>
          <w:highlight w:val="none"/>
        </w:rPr>
      </w:pPr>
      <w:r>
        <w:rPr>
          <w:rFonts w:hint="eastAsia" w:ascii="仿宋" w:hAnsi="仿宋" w:eastAsia="仿宋"/>
          <w:b/>
          <w:bCs/>
          <w:kern w:val="0"/>
          <w:sz w:val="28"/>
          <w:szCs w:val="28"/>
          <w:highlight w:val="none"/>
        </w:rPr>
        <w:t>项目的方案设计与实施应满足以下原则：</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符合性原则：应符合国家信息安全等级保护制度及相关法律法规。</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标准性原则：方案设计、实施与信息安全体系的构建应依据国内、国际的相关标准进行。</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规范性原则：项目实施应由专业的等级保护测评师依照规范的操作流程进行，在实施之前将详细量化出每项测评内容，对操作过程和结果提供规范的记录，以便于项目的跟踪和控制。</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可控性原则：项目实施的方法和过程要在双方认可的范围之内，实施进度要按照进度表进度的安排，保证项目实施的可控性。</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整体性原则：等级保护测评与安全体系设计的范围和内容应当整体全面，包括安全涉及的各个层面，避免由于遗漏造成未来的安全隐患。</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最小影响原则：项目实施工作应尽可能小的影响网络和信息系统的正常运行，不能对信息系统的运行和业务的正常提供产生显著影响。</w:t>
      </w:r>
    </w:p>
    <w:p>
      <w:pPr>
        <w:widowControl/>
        <w:numPr>
          <w:ilvl w:val="0"/>
          <w:numId w:val="2"/>
        </w:num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保密原则：对项目实施过程获得的数据和结果严格保密，未经授权不得泄露给任何单位和个人，不得利用此数据和结果进行任何侵害客户利益的行为。</w:t>
      </w:r>
    </w:p>
    <w:p>
      <w:pPr>
        <w:widowControl/>
        <w:spacing w:line="480" w:lineRule="exact"/>
        <w:ind w:firstLine="562" w:firstLineChars="200"/>
        <w:rPr>
          <w:rFonts w:ascii="仿宋" w:hAnsi="仿宋" w:eastAsia="仿宋"/>
          <w:b/>
          <w:bCs/>
          <w:kern w:val="0"/>
          <w:sz w:val="28"/>
          <w:szCs w:val="28"/>
          <w:highlight w:val="none"/>
        </w:rPr>
      </w:pPr>
      <w:r>
        <w:rPr>
          <w:rFonts w:hint="eastAsia" w:ascii="仿宋" w:hAnsi="仿宋" w:eastAsia="仿宋"/>
          <w:b/>
          <w:bCs/>
          <w:kern w:val="0"/>
          <w:sz w:val="28"/>
          <w:szCs w:val="28"/>
          <w:highlight w:val="none"/>
        </w:rPr>
        <w:t>同时，在等级保护测评实施的过程中遵循以下原则：</w:t>
      </w:r>
    </w:p>
    <w:p>
      <w:pPr>
        <w:widowControl/>
        <w:numPr>
          <w:ilvl w:val="0"/>
          <w:numId w:val="3"/>
        </w:numPr>
        <w:spacing w:line="480" w:lineRule="exact"/>
        <w:ind w:firstLine="560" w:firstLineChars="200"/>
        <w:rPr>
          <w:rFonts w:ascii="仿宋" w:hAnsi="仿宋" w:eastAsia="仿宋"/>
          <w:sz w:val="28"/>
          <w:szCs w:val="28"/>
          <w:highlight w:val="none"/>
        </w:rPr>
      </w:pPr>
      <w:bookmarkStart w:id="0" w:name="_Toc266368593"/>
      <w:bookmarkStart w:id="1" w:name="_Toc237920121"/>
      <w:r>
        <w:rPr>
          <w:rFonts w:hint="eastAsia" w:ascii="仿宋" w:hAnsi="仿宋" w:eastAsia="仿宋"/>
          <w:kern w:val="0"/>
          <w:sz w:val="28"/>
          <w:szCs w:val="28"/>
          <w:highlight w:val="none"/>
        </w:rPr>
        <w:t>客观性和公正性原则</w:t>
      </w:r>
      <w:bookmarkEnd w:id="0"/>
      <w:bookmarkEnd w:id="1"/>
      <w:r>
        <w:rPr>
          <w:rFonts w:hint="eastAsia" w:ascii="仿宋" w:hAnsi="仿宋" w:eastAsia="仿宋"/>
          <w:kern w:val="0"/>
          <w:sz w:val="28"/>
          <w:szCs w:val="28"/>
          <w:highlight w:val="none"/>
        </w:rPr>
        <w:t>：</w:t>
      </w:r>
      <w:r>
        <w:rPr>
          <w:rFonts w:hint="eastAsia" w:ascii="仿宋" w:hAnsi="仿宋" w:eastAsia="仿宋"/>
          <w:sz w:val="28"/>
          <w:szCs w:val="28"/>
          <w:highlight w:val="none"/>
        </w:rPr>
        <w:t>虽然测评工作不能完全摆脱个人主张或判断，但测评人员应当没有偏见，在最小主观判断情形下，按照测评双方相互认可的测评方案，基于明确定义的测评方式和解释，实施测评活动。</w:t>
      </w:r>
      <w:bookmarkStart w:id="2" w:name="_Toc237920122"/>
      <w:bookmarkStart w:id="3" w:name="_Toc266368594"/>
    </w:p>
    <w:p>
      <w:pPr>
        <w:widowControl/>
        <w:numPr>
          <w:ilvl w:val="0"/>
          <w:numId w:val="3"/>
        </w:numP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经济性和可重用性原则</w:t>
      </w:r>
      <w:bookmarkEnd w:id="2"/>
      <w:bookmarkEnd w:id="3"/>
      <w:r>
        <w:rPr>
          <w:rFonts w:hint="eastAsia" w:ascii="仿宋" w:hAnsi="仿宋" w:eastAsia="仿宋"/>
          <w:sz w:val="28"/>
          <w:szCs w:val="28"/>
          <w:highlight w:val="none"/>
        </w:rPr>
        <w:t>：基于测评成本和工作复杂性考虑，鼓励测评工作重用以前的测评结果，包括商业安全产品测评结果和信息系统先前的安全测评结果。所有重用的结果，都应基于结果适用于目前的系统，并且能够反映出目前系统的安全状态基础之上。</w:t>
      </w:r>
      <w:bookmarkStart w:id="4" w:name="_Toc266368595"/>
      <w:bookmarkStart w:id="5" w:name="_Toc237920123"/>
    </w:p>
    <w:p>
      <w:pPr>
        <w:widowControl/>
        <w:numPr>
          <w:ilvl w:val="0"/>
          <w:numId w:val="3"/>
        </w:numP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可重复性和可再现性原则</w:t>
      </w:r>
      <w:bookmarkEnd w:id="4"/>
      <w:bookmarkEnd w:id="5"/>
      <w:r>
        <w:rPr>
          <w:rFonts w:hint="eastAsia" w:ascii="仿宋" w:hAnsi="仿宋" w:eastAsia="仿宋"/>
          <w:sz w:val="28"/>
          <w:szCs w:val="28"/>
          <w:highlight w:val="none"/>
        </w:rPr>
        <w:t>：不论谁执行测评，依照同样的要求，使用同样的测评方式，对每个测评实施过程的重复执行应该得到同样的结果。前者与不同测评者测评结果的一致性有关，后者与同一测评者测评结果的一致性有关。</w:t>
      </w:r>
      <w:bookmarkStart w:id="6" w:name="_Toc237920124"/>
      <w:bookmarkStart w:id="7" w:name="_Toc266368596"/>
    </w:p>
    <w:p>
      <w:pPr>
        <w:widowControl/>
        <w:numPr>
          <w:ilvl w:val="0"/>
          <w:numId w:val="3"/>
        </w:numPr>
        <w:spacing w:line="480" w:lineRule="exact"/>
        <w:ind w:firstLine="560" w:firstLineChars="200"/>
        <w:rPr>
          <w:rFonts w:ascii="仿宋" w:hAnsi="仿宋" w:eastAsia="仿宋"/>
          <w:b/>
          <w:sz w:val="28"/>
          <w:szCs w:val="28"/>
          <w:highlight w:val="none"/>
        </w:rPr>
      </w:pPr>
      <w:r>
        <w:rPr>
          <w:rFonts w:hint="eastAsia" w:ascii="仿宋" w:hAnsi="仿宋" w:eastAsia="仿宋"/>
          <w:sz w:val="28"/>
          <w:szCs w:val="28"/>
          <w:highlight w:val="none"/>
        </w:rPr>
        <w:t>结果完善性原则</w:t>
      </w:r>
      <w:bookmarkEnd w:id="6"/>
      <w:bookmarkEnd w:id="7"/>
      <w:r>
        <w:rPr>
          <w:rFonts w:hint="eastAsia" w:ascii="仿宋" w:hAnsi="仿宋" w:eastAsia="仿宋"/>
          <w:sz w:val="28"/>
          <w:szCs w:val="28"/>
          <w:highlight w:val="none"/>
        </w:rPr>
        <w:t>：测评所产生的结果应当证明是良好的判断和对测评项的正确理解。测评过程和结果应当服从正确的测评方法以确保其满足了测评项的要求。</w:t>
      </w:r>
    </w:p>
    <w:p>
      <w:pPr>
        <w:pStyle w:val="2"/>
        <w:numPr>
          <w:ilvl w:val="0"/>
          <w:numId w:val="1"/>
        </w:numPr>
        <w:spacing w:line="480" w:lineRule="exact"/>
        <w:ind w:left="0" w:firstLine="562"/>
        <w:rPr>
          <w:rFonts w:ascii="仿宋" w:hAnsi="仿宋" w:eastAsia="仿宋"/>
          <w:b/>
          <w:sz w:val="28"/>
          <w:szCs w:val="28"/>
          <w:highlight w:val="none"/>
        </w:rPr>
      </w:pPr>
      <w:r>
        <w:rPr>
          <w:rFonts w:hint="eastAsia" w:ascii="仿宋" w:hAnsi="仿宋" w:eastAsia="仿宋"/>
          <w:b/>
          <w:sz w:val="28"/>
          <w:szCs w:val="28"/>
          <w:highlight w:val="none"/>
        </w:rPr>
        <w:t>测评依据</w:t>
      </w:r>
    </w:p>
    <w:p>
      <w:pPr>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信息系统等级保护测评依据《信息</w:t>
      </w:r>
      <w:r>
        <w:rPr>
          <w:rFonts w:ascii="仿宋" w:hAnsi="仿宋" w:eastAsia="仿宋"/>
          <w:sz w:val="28"/>
          <w:szCs w:val="28"/>
          <w:highlight w:val="none"/>
        </w:rPr>
        <w:t>安全技术</w:t>
      </w:r>
      <w:r>
        <w:rPr>
          <w:rFonts w:hint="eastAsia" w:ascii="仿宋" w:hAnsi="仿宋" w:eastAsia="仿宋"/>
          <w:sz w:val="28"/>
          <w:szCs w:val="28"/>
          <w:highlight w:val="none"/>
        </w:rPr>
        <w:t xml:space="preserve"> 网络安全等级保护基本要求》、《信息</w:t>
      </w:r>
      <w:r>
        <w:rPr>
          <w:rFonts w:ascii="仿宋" w:hAnsi="仿宋" w:eastAsia="仿宋"/>
          <w:sz w:val="28"/>
          <w:szCs w:val="28"/>
          <w:highlight w:val="none"/>
        </w:rPr>
        <w:t>安全技术</w:t>
      </w:r>
      <w:r>
        <w:rPr>
          <w:rFonts w:hint="eastAsia" w:ascii="仿宋" w:hAnsi="仿宋" w:eastAsia="仿宋"/>
          <w:sz w:val="28"/>
          <w:szCs w:val="28"/>
          <w:highlight w:val="none"/>
        </w:rPr>
        <w:t xml:space="preserve"> 网络安全等级保护测评要求》，在对信息系统进行安全技术和安全管理的安全控制测评及系统整体测评结果基础上，针对相应等级信息系统遵循的标准进行综合性测评，提出相应的安全评审意见。主要参考标准如下：</w:t>
      </w:r>
    </w:p>
    <w:p>
      <w:pPr>
        <w:spacing w:line="48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法律依据</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1.《中华人民共和国网络安全法》</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2.《中华人民共和国计算机信息系统安全保护条例》（国务院147号令）</w:t>
      </w:r>
    </w:p>
    <w:p>
      <w:pPr>
        <w:spacing w:line="48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法规要求</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1.《信息安全等级保护管理办法》（公通字[2007]43号）</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2.《网络安全等级保护条例》（征求意见稿）</w:t>
      </w:r>
    </w:p>
    <w:p>
      <w:pPr>
        <w:spacing w:line="48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遵循的主要标准</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1.《信息</w:t>
      </w:r>
      <w:r>
        <w:rPr>
          <w:rFonts w:ascii="仿宋" w:hAnsi="仿宋" w:eastAsia="仿宋"/>
          <w:sz w:val="28"/>
          <w:szCs w:val="28"/>
          <w:highlight w:val="none"/>
        </w:rPr>
        <w:t>安全技术</w:t>
      </w:r>
      <w:r>
        <w:rPr>
          <w:rFonts w:hint="eastAsia" w:ascii="仿宋" w:hAnsi="仿宋" w:eastAsia="仿宋"/>
          <w:sz w:val="28"/>
          <w:szCs w:val="28"/>
          <w:highlight w:val="none"/>
        </w:rPr>
        <w:t xml:space="preserve"> 网络安全等级保护定级指南》</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2.《信息</w:t>
      </w:r>
      <w:r>
        <w:rPr>
          <w:rFonts w:ascii="仿宋" w:hAnsi="仿宋" w:eastAsia="仿宋"/>
          <w:sz w:val="28"/>
          <w:szCs w:val="28"/>
          <w:highlight w:val="none"/>
        </w:rPr>
        <w:t>安全技术</w:t>
      </w:r>
      <w:r>
        <w:rPr>
          <w:rFonts w:hint="eastAsia" w:ascii="仿宋" w:hAnsi="仿宋" w:eastAsia="仿宋"/>
          <w:sz w:val="28"/>
          <w:szCs w:val="28"/>
          <w:highlight w:val="none"/>
        </w:rPr>
        <w:t xml:space="preserve"> 网络安全等级保护基本要求》</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3.《信息</w:t>
      </w:r>
      <w:r>
        <w:rPr>
          <w:rFonts w:ascii="仿宋" w:hAnsi="仿宋" w:eastAsia="仿宋"/>
          <w:sz w:val="28"/>
          <w:szCs w:val="28"/>
          <w:highlight w:val="none"/>
        </w:rPr>
        <w:t>安全技术</w:t>
      </w:r>
      <w:r>
        <w:rPr>
          <w:rFonts w:hint="eastAsia" w:ascii="仿宋" w:hAnsi="仿宋" w:eastAsia="仿宋"/>
          <w:sz w:val="28"/>
          <w:szCs w:val="28"/>
          <w:highlight w:val="none"/>
        </w:rPr>
        <w:t xml:space="preserve"> 网络安全等级保护测评要求》</w:t>
      </w:r>
    </w:p>
    <w:p>
      <w:pPr>
        <w:adjustRightInd w:val="0"/>
        <w:snapToGrid w:val="0"/>
        <w:spacing w:before="156" w:beforeLines="50" w:after="156" w:afterLines="50"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4.《信息安全技术 网络安全等级保护安全设计技术要求》</w:t>
      </w:r>
    </w:p>
    <w:p>
      <w:pPr>
        <w:adjustRightInd w:val="0"/>
        <w:snapToGrid w:val="0"/>
        <w:spacing w:before="156" w:beforeLines="50" w:after="156" w:afterLines="50" w:line="480" w:lineRule="exact"/>
        <w:ind w:firstLine="560" w:firstLineChars="200"/>
        <w:rPr>
          <w:rFonts w:ascii="仿宋" w:hAnsi="仿宋" w:eastAsia="仿宋"/>
          <w:b/>
          <w:sz w:val="28"/>
          <w:szCs w:val="28"/>
          <w:highlight w:val="none"/>
        </w:rPr>
      </w:pPr>
      <w:r>
        <w:rPr>
          <w:rFonts w:hint="eastAsia" w:ascii="仿宋" w:hAnsi="仿宋" w:eastAsia="仿宋"/>
          <w:sz w:val="28"/>
          <w:szCs w:val="28"/>
          <w:highlight w:val="none"/>
        </w:rPr>
        <w:t>5.《信息安全技术 网络安全等级保护测评过程指南》</w:t>
      </w:r>
    </w:p>
    <w:p>
      <w:pPr>
        <w:pStyle w:val="2"/>
        <w:numPr>
          <w:ilvl w:val="0"/>
          <w:numId w:val="1"/>
        </w:numPr>
        <w:spacing w:line="480" w:lineRule="exact"/>
        <w:ind w:left="0" w:firstLine="562"/>
        <w:rPr>
          <w:rFonts w:ascii="仿宋" w:hAnsi="仿宋" w:eastAsia="仿宋"/>
          <w:b/>
          <w:sz w:val="28"/>
          <w:szCs w:val="28"/>
          <w:highlight w:val="none"/>
        </w:rPr>
      </w:pPr>
      <w:r>
        <w:rPr>
          <w:rFonts w:hint="eastAsia" w:ascii="仿宋" w:hAnsi="仿宋" w:eastAsia="仿宋"/>
          <w:b/>
          <w:sz w:val="28"/>
          <w:szCs w:val="28"/>
          <w:highlight w:val="none"/>
        </w:rPr>
        <w:t>服务要求</w:t>
      </w:r>
    </w:p>
    <w:p>
      <w:pPr>
        <w:pStyle w:val="4"/>
        <w:spacing w:after="0" w:line="480" w:lineRule="exact"/>
        <w:ind w:right="120"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.乙方</w:t>
      </w:r>
      <w:r>
        <w:rPr>
          <w:rFonts w:ascii="仿宋" w:hAnsi="仿宋" w:eastAsia="仿宋"/>
          <w:sz w:val="28"/>
          <w:szCs w:val="28"/>
          <w:highlight w:val="none"/>
        </w:rPr>
        <w:t>必须保证从事本项目工作的相关人员具备完成合同规定的工作所需的资历和技能，并向</w:t>
      </w:r>
      <w:r>
        <w:rPr>
          <w:rFonts w:hint="eastAsia" w:ascii="仿宋" w:hAnsi="仿宋" w:eastAsia="仿宋"/>
          <w:sz w:val="28"/>
          <w:szCs w:val="28"/>
          <w:highlight w:val="none"/>
        </w:rPr>
        <w:t>甲方</w:t>
      </w:r>
      <w:r>
        <w:rPr>
          <w:rFonts w:ascii="仿宋" w:hAnsi="仿宋" w:eastAsia="仿宋"/>
          <w:sz w:val="28"/>
          <w:szCs w:val="28"/>
          <w:highlight w:val="none"/>
        </w:rPr>
        <w:t>如实提供相关人员专业经验和水平的证明材料，以及其他的</w:t>
      </w:r>
      <w:r>
        <w:rPr>
          <w:rFonts w:hint="eastAsia" w:ascii="仿宋" w:hAnsi="仿宋" w:eastAsia="仿宋"/>
          <w:sz w:val="28"/>
          <w:szCs w:val="28"/>
          <w:highlight w:val="none"/>
        </w:rPr>
        <w:t>乙方</w:t>
      </w:r>
      <w:r>
        <w:rPr>
          <w:rFonts w:ascii="仿宋" w:hAnsi="仿宋" w:eastAsia="仿宋"/>
          <w:sz w:val="28"/>
          <w:szCs w:val="28"/>
          <w:highlight w:val="none"/>
        </w:rPr>
        <w:t>认为有必要提供的资料。</w:t>
      </w:r>
    </w:p>
    <w:p>
      <w:pPr>
        <w:pStyle w:val="4"/>
        <w:spacing w:after="0" w:line="480" w:lineRule="exact"/>
        <w:ind w:right="124"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.乙方</w:t>
      </w:r>
      <w:r>
        <w:rPr>
          <w:rFonts w:ascii="仿宋" w:hAnsi="仿宋" w:eastAsia="仿宋"/>
          <w:sz w:val="28"/>
          <w:szCs w:val="28"/>
          <w:highlight w:val="none"/>
        </w:rPr>
        <w:t>需要成立项目服务团队。</w:t>
      </w:r>
    </w:p>
    <w:p>
      <w:pPr>
        <w:pStyle w:val="4"/>
        <w:spacing w:after="0" w:line="480" w:lineRule="exact"/>
        <w:ind w:right="124"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项目经理须具备3年或以上信息安全等级保护测评项目管理经验。</w:t>
      </w:r>
    </w:p>
    <w:p>
      <w:pPr>
        <w:pStyle w:val="4"/>
        <w:spacing w:after="0" w:line="480" w:lineRule="exact"/>
        <w:ind w:right="109" w:firstLine="560" w:firstLineChars="200"/>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项目经理与技术服务人员必须为</w:t>
      </w:r>
      <w:r>
        <w:rPr>
          <w:rFonts w:hint="eastAsia" w:ascii="仿宋" w:hAnsi="仿宋" w:eastAsia="仿宋"/>
          <w:sz w:val="28"/>
          <w:szCs w:val="28"/>
          <w:highlight w:val="none"/>
        </w:rPr>
        <w:t>本公司</w:t>
      </w:r>
      <w:r>
        <w:rPr>
          <w:rFonts w:ascii="仿宋" w:hAnsi="仿宋" w:eastAsia="仿宋"/>
          <w:sz w:val="28"/>
          <w:szCs w:val="28"/>
          <w:highlight w:val="none"/>
        </w:rPr>
        <w:t>工作人员，提供</w:t>
      </w:r>
      <w:r>
        <w:rPr>
          <w:rFonts w:hint="eastAsia" w:ascii="仿宋" w:hAnsi="仿宋" w:eastAsia="仿宋"/>
          <w:sz w:val="28"/>
          <w:szCs w:val="28"/>
          <w:highlight w:val="none"/>
        </w:rPr>
        <w:t>本公司</w:t>
      </w:r>
      <w:r>
        <w:rPr>
          <w:rFonts w:ascii="仿宋" w:hAnsi="仿宋" w:eastAsia="仿宋"/>
          <w:sz w:val="28"/>
          <w:szCs w:val="28"/>
          <w:highlight w:val="none"/>
        </w:rPr>
        <w:t>社保资料证明（提供证明材料）。</w:t>
      </w:r>
    </w:p>
    <w:p>
      <w:pPr>
        <w:pStyle w:val="4"/>
        <w:spacing w:after="0" w:line="480" w:lineRule="exact"/>
        <w:ind w:right="124" w:firstLine="560" w:firstLineChars="200"/>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.乙方</w:t>
      </w:r>
      <w:r>
        <w:rPr>
          <w:rFonts w:ascii="仿宋" w:hAnsi="仿宋" w:eastAsia="仿宋"/>
          <w:sz w:val="28"/>
          <w:szCs w:val="28"/>
          <w:highlight w:val="none"/>
        </w:rPr>
        <w:t>必须承诺项目的全部实施人员均在</w:t>
      </w:r>
      <w:r>
        <w:rPr>
          <w:rFonts w:hint="eastAsia" w:ascii="仿宋" w:hAnsi="仿宋" w:eastAsia="仿宋"/>
          <w:sz w:val="28"/>
          <w:szCs w:val="28"/>
          <w:highlight w:val="none"/>
        </w:rPr>
        <w:t>项目投标提交的</w:t>
      </w:r>
      <w:r>
        <w:rPr>
          <w:rFonts w:ascii="仿宋" w:hAnsi="仿宋" w:eastAsia="仿宋"/>
          <w:sz w:val="28"/>
          <w:szCs w:val="28"/>
          <w:highlight w:val="none"/>
        </w:rPr>
        <w:t>人员名单之内。</w:t>
      </w:r>
    </w:p>
    <w:p>
      <w:pPr>
        <w:pStyle w:val="4"/>
        <w:spacing w:after="0" w:line="480" w:lineRule="exact"/>
        <w:ind w:right="124" w:firstLine="560" w:firstLineChars="200"/>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w:t>
      </w:r>
      <w:r>
        <w:rPr>
          <w:rFonts w:ascii="仿宋" w:hAnsi="仿宋" w:eastAsia="仿宋"/>
          <w:sz w:val="28"/>
          <w:szCs w:val="28"/>
          <w:highlight w:val="none"/>
        </w:rPr>
        <w:t>其他：</w:t>
      </w:r>
    </w:p>
    <w:p>
      <w:pPr>
        <w:pStyle w:val="4"/>
        <w:spacing w:after="0" w:line="480" w:lineRule="exact"/>
        <w:ind w:right="133" w:firstLine="560" w:firstLineChars="200"/>
        <w:rPr>
          <w:rFonts w:ascii="仿宋" w:hAnsi="仿宋" w:eastAsia="仿宋"/>
          <w:sz w:val="28"/>
          <w:szCs w:val="28"/>
          <w:highlight w:val="none"/>
        </w:rPr>
      </w:pPr>
      <w:r>
        <w:rPr>
          <w:rFonts w:ascii="仿宋" w:hAnsi="仿宋" w:eastAsia="仿宋"/>
          <w:sz w:val="28"/>
          <w:szCs w:val="28"/>
          <w:highlight w:val="none"/>
        </w:rPr>
        <w:t>（1）如果</w:t>
      </w:r>
      <w:r>
        <w:rPr>
          <w:rFonts w:hint="eastAsia" w:ascii="仿宋" w:hAnsi="仿宋" w:eastAsia="仿宋"/>
          <w:sz w:val="28"/>
          <w:szCs w:val="28"/>
          <w:highlight w:val="none"/>
        </w:rPr>
        <w:t>乙方</w:t>
      </w:r>
      <w:r>
        <w:rPr>
          <w:rFonts w:ascii="仿宋" w:hAnsi="仿宋" w:eastAsia="仿宋"/>
          <w:sz w:val="28"/>
          <w:szCs w:val="28"/>
          <w:highlight w:val="none"/>
        </w:rPr>
        <w:t>的人员未能满足</w:t>
      </w:r>
      <w:r>
        <w:rPr>
          <w:rFonts w:hint="eastAsia" w:ascii="仿宋" w:hAnsi="仿宋" w:eastAsia="仿宋"/>
          <w:sz w:val="28"/>
          <w:szCs w:val="28"/>
          <w:highlight w:val="none"/>
        </w:rPr>
        <w:t>甲方</w:t>
      </w:r>
      <w:r>
        <w:rPr>
          <w:rFonts w:ascii="仿宋" w:hAnsi="仿宋" w:eastAsia="仿宋"/>
          <w:sz w:val="28"/>
          <w:szCs w:val="28"/>
          <w:highlight w:val="none"/>
        </w:rPr>
        <w:t>要求，</w:t>
      </w:r>
      <w:r>
        <w:rPr>
          <w:rFonts w:hint="eastAsia" w:ascii="仿宋" w:hAnsi="仿宋" w:eastAsia="仿宋"/>
          <w:sz w:val="28"/>
          <w:szCs w:val="28"/>
          <w:highlight w:val="none"/>
        </w:rPr>
        <w:t>甲方</w:t>
      </w:r>
      <w:r>
        <w:rPr>
          <w:rFonts w:ascii="仿宋" w:hAnsi="仿宋" w:eastAsia="仿宋"/>
          <w:sz w:val="28"/>
          <w:szCs w:val="28"/>
          <w:highlight w:val="none"/>
        </w:rPr>
        <w:t>有权在服务方工作期间，根据服务质量随时要求更换人员，由此产生的费用和相关责任由</w:t>
      </w:r>
      <w:r>
        <w:rPr>
          <w:rFonts w:hint="eastAsia" w:ascii="仿宋" w:hAnsi="仿宋" w:eastAsia="仿宋"/>
          <w:sz w:val="28"/>
          <w:szCs w:val="28"/>
          <w:highlight w:val="none"/>
        </w:rPr>
        <w:t>乙方</w:t>
      </w:r>
      <w:r>
        <w:rPr>
          <w:rFonts w:ascii="仿宋" w:hAnsi="仿宋" w:eastAsia="仿宋"/>
          <w:sz w:val="28"/>
          <w:szCs w:val="28"/>
          <w:highlight w:val="none"/>
        </w:rPr>
        <w:t>独立承担。</w:t>
      </w:r>
    </w:p>
    <w:p>
      <w:pPr>
        <w:pStyle w:val="4"/>
        <w:spacing w:after="0" w:line="480" w:lineRule="exact"/>
        <w:ind w:right="116" w:firstLine="560" w:firstLineChars="200"/>
        <w:rPr>
          <w:rFonts w:ascii="仿宋" w:hAnsi="仿宋" w:eastAsia="仿宋"/>
          <w:b/>
          <w:sz w:val="28"/>
          <w:szCs w:val="28"/>
          <w:highlight w:val="none"/>
        </w:rPr>
      </w:pPr>
      <w:r>
        <w:rPr>
          <w:rFonts w:ascii="仿宋" w:hAnsi="仿宋" w:eastAsia="仿宋"/>
          <w:sz w:val="28"/>
          <w:szCs w:val="28"/>
          <w:highlight w:val="none"/>
        </w:rPr>
        <w:t>（2）若</w:t>
      </w:r>
      <w:r>
        <w:rPr>
          <w:rFonts w:hint="eastAsia" w:ascii="仿宋" w:hAnsi="仿宋" w:eastAsia="仿宋"/>
          <w:sz w:val="28"/>
          <w:szCs w:val="28"/>
          <w:highlight w:val="none"/>
        </w:rPr>
        <w:t>乙方</w:t>
      </w:r>
      <w:r>
        <w:rPr>
          <w:rFonts w:ascii="仿宋" w:hAnsi="仿宋" w:eastAsia="仿宋"/>
          <w:sz w:val="28"/>
          <w:szCs w:val="28"/>
          <w:highlight w:val="none"/>
        </w:rPr>
        <w:t>需要更换核心服务人员，应提前以书面方式通知</w:t>
      </w:r>
      <w:r>
        <w:rPr>
          <w:rFonts w:hint="eastAsia" w:ascii="仿宋" w:hAnsi="仿宋" w:eastAsia="仿宋"/>
          <w:sz w:val="28"/>
          <w:szCs w:val="28"/>
          <w:highlight w:val="none"/>
        </w:rPr>
        <w:t>甲方</w:t>
      </w:r>
      <w:r>
        <w:rPr>
          <w:rFonts w:ascii="仿宋" w:hAnsi="仿宋" w:eastAsia="仿宋"/>
          <w:sz w:val="28"/>
          <w:szCs w:val="28"/>
          <w:highlight w:val="none"/>
        </w:rPr>
        <w:t>项目总负责人，并附上相应人员的详细简历供</w:t>
      </w:r>
      <w:r>
        <w:rPr>
          <w:rFonts w:hint="eastAsia" w:ascii="仿宋" w:hAnsi="仿宋" w:eastAsia="仿宋"/>
          <w:sz w:val="28"/>
          <w:szCs w:val="28"/>
          <w:highlight w:val="none"/>
        </w:rPr>
        <w:t>甲方</w:t>
      </w:r>
      <w:r>
        <w:rPr>
          <w:rFonts w:ascii="仿宋" w:hAnsi="仿宋" w:eastAsia="仿宋"/>
          <w:sz w:val="28"/>
          <w:szCs w:val="28"/>
          <w:highlight w:val="none"/>
        </w:rPr>
        <w:t>进行审核，只有获得</w:t>
      </w:r>
      <w:r>
        <w:rPr>
          <w:rFonts w:hint="eastAsia" w:ascii="仿宋" w:hAnsi="仿宋" w:eastAsia="仿宋"/>
          <w:sz w:val="28"/>
          <w:szCs w:val="28"/>
          <w:highlight w:val="none"/>
        </w:rPr>
        <w:t>甲方</w:t>
      </w:r>
      <w:r>
        <w:rPr>
          <w:rFonts w:ascii="仿宋" w:hAnsi="仿宋" w:eastAsia="仿宋"/>
          <w:sz w:val="28"/>
          <w:szCs w:val="28"/>
          <w:highlight w:val="none"/>
        </w:rPr>
        <w:t>项目总负责人的正式批准后方能进行更换。</w:t>
      </w:r>
    </w:p>
    <w:p>
      <w:pPr>
        <w:pStyle w:val="2"/>
        <w:numPr>
          <w:ilvl w:val="0"/>
          <w:numId w:val="1"/>
        </w:numPr>
        <w:ind w:left="0" w:firstLine="562"/>
        <w:rPr>
          <w:rFonts w:ascii="仿宋" w:hAnsi="仿宋" w:eastAsia="仿宋"/>
          <w:b/>
          <w:sz w:val="28"/>
          <w:szCs w:val="28"/>
          <w:highlight w:val="none"/>
        </w:rPr>
      </w:pPr>
      <w:r>
        <w:rPr>
          <w:rFonts w:hint="eastAsia" w:ascii="仿宋" w:hAnsi="仿宋" w:eastAsia="仿宋"/>
          <w:b/>
          <w:sz w:val="28"/>
          <w:szCs w:val="28"/>
          <w:highlight w:val="none"/>
        </w:rPr>
        <w:t>质量保证</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sz w:val="28"/>
          <w:szCs w:val="28"/>
          <w:highlight w:val="none"/>
        </w:rPr>
        <w:t>乙方</w:t>
      </w:r>
      <w:r>
        <w:rPr>
          <w:rFonts w:ascii="仿宋" w:hAnsi="仿宋" w:eastAsia="仿宋"/>
          <w:kern w:val="0"/>
          <w:sz w:val="28"/>
          <w:szCs w:val="28"/>
          <w:highlight w:val="none"/>
        </w:rPr>
        <w:t>应制定质量计划作为项目策划的一部分，质量计划应包括下列内容：</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1.</w:t>
      </w:r>
      <w:r>
        <w:rPr>
          <w:rFonts w:ascii="仿宋" w:hAnsi="仿宋" w:eastAsia="仿宋"/>
          <w:kern w:val="0"/>
          <w:sz w:val="28"/>
          <w:szCs w:val="28"/>
          <w:highlight w:val="none"/>
        </w:rPr>
        <w:t>质量目标，尽可能以定量形式给出。</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2.</w:t>
      </w:r>
      <w:r>
        <w:rPr>
          <w:rFonts w:ascii="仿宋" w:hAnsi="仿宋" w:eastAsia="仿宋"/>
          <w:kern w:val="0"/>
          <w:sz w:val="28"/>
          <w:szCs w:val="28"/>
          <w:highlight w:val="none"/>
        </w:rPr>
        <w:t>对质量活动的具体职责，诸如：评审和测试、配置管理和更改控制、对缺陷的控制及纠正措施。</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3.</w:t>
      </w:r>
      <w:r>
        <w:rPr>
          <w:rFonts w:ascii="仿宋" w:hAnsi="仿宋" w:eastAsia="仿宋"/>
          <w:kern w:val="0"/>
          <w:sz w:val="28"/>
          <w:szCs w:val="28"/>
          <w:highlight w:val="none"/>
        </w:rPr>
        <w:t>质量计划应顺次列出从整体规划到成果提交全过程中的每一个工序(阶段)及其相应的控制规程和控制措施。</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w:t>
      </w:r>
      <w:r>
        <w:rPr>
          <w:rFonts w:ascii="仿宋" w:hAnsi="仿宋" w:eastAsia="仿宋"/>
          <w:kern w:val="0"/>
          <w:sz w:val="28"/>
          <w:szCs w:val="28"/>
          <w:highlight w:val="none"/>
        </w:rPr>
        <w:t>质量计划应在工作开始前提交</w:t>
      </w:r>
      <w:r>
        <w:rPr>
          <w:rFonts w:hint="eastAsia" w:ascii="仿宋" w:hAnsi="仿宋" w:eastAsia="仿宋"/>
          <w:sz w:val="28"/>
          <w:szCs w:val="28"/>
          <w:highlight w:val="none"/>
        </w:rPr>
        <w:t>甲方</w:t>
      </w:r>
      <w:r>
        <w:rPr>
          <w:rFonts w:ascii="仿宋" w:hAnsi="仿宋" w:eastAsia="仿宋"/>
          <w:kern w:val="0"/>
          <w:sz w:val="28"/>
          <w:szCs w:val="28"/>
          <w:highlight w:val="none"/>
        </w:rPr>
        <w:t>项目总负责人审核认可，并设置</w:t>
      </w:r>
      <w:r>
        <w:rPr>
          <w:rFonts w:hint="eastAsia" w:ascii="仿宋" w:hAnsi="仿宋" w:eastAsia="仿宋"/>
          <w:sz w:val="28"/>
          <w:szCs w:val="28"/>
          <w:highlight w:val="none"/>
        </w:rPr>
        <w:t>甲方</w:t>
      </w:r>
      <w:r>
        <w:rPr>
          <w:rFonts w:ascii="仿宋" w:hAnsi="仿宋" w:eastAsia="仿宋"/>
          <w:kern w:val="0"/>
          <w:sz w:val="28"/>
          <w:szCs w:val="28"/>
          <w:highlight w:val="none"/>
        </w:rPr>
        <w:t>参加的控制点。</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5.</w:t>
      </w:r>
      <w:r>
        <w:rPr>
          <w:rFonts w:hint="eastAsia" w:ascii="仿宋" w:hAnsi="仿宋" w:eastAsia="仿宋"/>
          <w:sz w:val="28"/>
          <w:szCs w:val="28"/>
          <w:highlight w:val="none"/>
        </w:rPr>
        <w:t>甲方</w:t>
      </w:r>
      <w:r>
        <w:rPr>
          <w:rFonts w:ascii="仿宋" w:hAnsi="仿宋" w:eastAsia="仿宋"/>
          <w:kern w:val="0"/>
          <w:sz w:val="28"/>
          <w:szCs w:val="28"/>
          <w:highlight w:val="none"/>
        </w:rPr>
        <w:t>代表有权在工作时间内进入</w:t>
      </w:r>
      <w:r>
        <w:rPr>
          <w:rFonts w:hint="eastAsia" w:ascii="仿宋" w:hAnsi="仿宋" w:eastAsia="仿宋"/>
          <w:sz w:val="28"/>
          <w:szCs w:val="28"/>
          <w:highlight w:val="none"/>
        </w:rPr>
        <w:t>乙方</w:t>
      </w:r>
      <w:r>
        <w:rPr>
          <w:rFonts w:ascii="仿宋" w:hAnsi="仿宋" w:eastAsia="仿宋"/>
          <w:kern w:val="0"/>
          <w:sz w:val="28"/>
          <w:szCs w:val="28"/>
          <w:highlight w:val="none"/>
        </w:rPr>
        <w:t>与合同执行有关的工作场所进行质量控制与评价活动，</w:t>
      </w:r>
      <w:r>
        <w:rPr>
          <w:rFonts w:hint="eastAsia" w:ascii="仿宋" w:hAnsi="仿宋" w:eastAsia="仿宋"/>
          <w:sz w:val="28"/>
          <w:szCs w:val="28"/>
          <w:highlight w:val="none"/>
        </w:rPr>
        <w:t>乙方</w:t>
      </w:r>
      <w:r>
        <w:rPr>
          <w:rFonts w:ascii="仿宋" w:hAnsi="仿宋" w:eastAsia="仿宋"/>
          <w:kern w:val="0"/>
          <w:sz w:val="28"/>
          <w:szCs w:val="28"/>
          <w:highlight w:val="none"/>
        </w:rPr>
        <w:t>应为</w:t>
      </w:r>
      <w:r>
        <w:rPr>
          <w:rFonts w:hint="eastAsia" w:ascii="仿宋" w:hAnsi="仿宋" w:eastAsia="仿宋"/>
          <w:sz w:val="28"/>
          <w:szCs w:val="28"/>
          <w:highlight w:val="none"/>
        </w:rPr>
        <w:t>甲方</w:t>
      </w:r>
      <w:r>
        <w:rPr>
          <w:rFonts w:ascii="仿宋" w:hAnsi="仿宋" w:eastAsia="仿宋"/>
          <w:kern w:val="0"/>
          <w:sz w:val="28"/>
          <w:szCs w:val="28"/>
          <w:highlight w:val="none"/>
        </w:rPr>
        <w:t>的活动提供必要的条件，并给予必要的支持。</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6.</w:t>
      </w:r>
      <w:r>
        <w:rPr>
          <w:rFonts w:hint="eastAsia" w:ascii="仿宋" w:hAnsi="仿宋" w:eastAsia="仿宋"/>
          <w:sz w:val="28"/>
          <w:szCs w:val="28"/>
          <w:highlight w:val="none"/>
        </w:rPr>
        <w:t>甲方</w:t>
      </w:r>
      <w:r>
        <w:rPr>
          <w:rFonts w:ascii="仿宋" w:hAnsi="仿宋" w:eastAsia="仿宋"/>
          <w:kern w:val="0"/>
          <w:sz w:val="28"/>
          <w:szCs w:val="28"/>
          <w:highlight w:val="none"/>
        </w:rPr>
        <w:t>对</w:t>
      </w:r>
      <w:r>
        <w:rPr>
          <w:rFonts w:hint="eastAsia" w:ascii="仿宋" w:hAnsi="仿宋" w:eastAsia="仿宋"/>
          <w:sz w:val="28"/>
          <w:szCs w:val="28"/>
          <w:highlight w:val="none"/>
        </w:rPr>
        <w:t>乙方</w:t>
      </w:r>
      <w:r>
        <w:rPr>
          <w:rFonts w:ascii="仿宋" w:hAnsi="仿宋" w:eastAsia="仿宋"/>
          <w:kern w:val="0"/>
          <w:sz w:val="28"/>
          <w:szCs w:val="28"/>
          <w:highlight w:val="none"/>
        </w:rPr>
        <w:t>进行的一切质量控制与评价活动，不能减免</w:t>
      </w:r>
      <w:r>
        <w:rPr>
          <w:rFonts w:hint="eastAsia" w:ascii="仿宋" w:hAnsi="仿宋" w:eastAsia="仿宋"/>
          <w:sz w:val="28"/>
          <w:szCs w:val="28"/>
          <w:highlight w:val="none"/>
        </w:rPr>
        <w:t>乙方</w:t>
      </w:r>
      <w:r>
        <w:rPr>
          <w:rFonts w:ascii="仿宋" w:hAnsi="仿宋" w:eastAsia="仿宋"/>
          <w:kern w:val="0"/>
          <w:sz w:val="28"/>
          <w:szCs w:val="28"/>
          <w:highlight w:val="none"/>
        </w:rPr>
        <w:t>的合同责任。</w:t>
      </w:r>
    </w:p>
    <w:p>
      <w:pPr>
        <w:spacing w:line="480" w:lineRule="exact"/>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7.</w:t>
      </w:r>
      <w:r>
        <w:rPr>
          <w:rFonts w:ascii="仿宋" w:hAnsi="仿宋" w:eastAsia="仿宋"/>
          <w:kern w:val="0"/>
          <w:sz w:val="28"/>
          <w:szCs w:val="28"/>
          <w:highlight w:val="none"/>
        </w:rPr>
        <w:t>文件控制，必须对工作的执行和验证所需要的文件(例如规程、细则等)的编制、审核、批准和发放进行控制以保证参与活动的人员能使用完成该项活动所需的正确文件及适合版本记录，应建立并保存足够的质量保证记录(包括检查、确认及评审等记录)，记录应能体现质量的客观证据。</w:t>
      </w:r>
    </w:p>
    <w:p>
      <w:pPr>
        <w:spacing w:line="480" w:lineRule="exact"/>
        <w:ind w:firstLine="560" w:firstLineChars="200"/>
        <w:rPr>
          <w:rFonts w:ascii="仿宋" w:hAnsi="仿宋" w:eastAsia="仿宋"/>
          <w:b/>
          <w:kern w:val="0"/>
          <w:sz w:val="28"/>
          <w:szCs w:val="28"/>
          <w:highlight w:val="none"/>
        </w:rPr>
      </w:pPr>
      <w:r>
        <w:rPr>
          <w:rFonts w:hint="eastAsia" w:ascii="仿宋" w:hAnsi="仿宋" w:eastAsia="仿宋"/>
          <w:kern w:val="0"/>
          <w:sz w:val="28"/>
          <w:szCs w:val="28"/>
          <w:highlight w:val="none"/>
        </w:rPr>
        <w:t>8.</w:t>
      </w:r>
      <w:r>
        <w:rPr>
          <w:rFonts w:hint="eastAsia" w:ascii="仿宋" w:hAnsi="仿宋" w:eastAsia="仿宋"/>
          <w:sz w:val="28"/>
          <w:szCs w:val="28"/>
          <w:highlight w:val="none"/>
        </w:rPr>
        <w:t>乙方</w:t>
      </w:r>
      <w:r>
        <w:rPr>
          <w:rFonts w:ascii="仿宋" w:hAnsi="仿宋" w:eastAsia="仿宋"/>
          <w:kern w:val="0"/>
          <w:sz w:val="28"/>
          <w:szCs w:val="28"/>
          <w:highlight w:val="none"/>
        </w:rPr>
        <w:t>须按照合同规定向</w:t>
      </w:r>
      <w:r>
        <w:rPr>
          <w:rFonts w:hint="eastAsia" w:ascii="仿宋" w:hAnsi="仿宋" w:eastAsia="仿宋"/>
          <w:sz w:val="28"/>
          <w:szCs w:val="28"/>
          <w:highlight w:val="none"/>
        </w:rPr>
        <w:t>甲方</w:t>
      </w:r>
      <w:r>
        <w:rPr>
          <w:rFonts w:ascii="仿宋" w:hAnsi="仿宋" w:eastAsia="仿宋"/>
          <w:kern w:val="0"/>
          <w:sz w:val="28"/>
          <w:szCs w:val="28"/>
          <w:highlight w:val="none"/>
        </w:rPr>
        <w:t>提交各种有关文件记录，对文件记录的内容及其有效性负全部责任。</w:t>
      </w:r>
    </w:p>
    <w:p>
      <w:pPr>
        <w:pStyle w:val="2"/>
        <w:numPr>
          <w:ilvl w:val="0"/>
          <w:numId w:val="1"/>
        </w:numPr>
        <w:spacing w:line="480" w:lineRule="exact"/>
        <w:ind w:left="0" w:firstLine="562"/>
        <w:rPr>
          <w:rFonts w:ascii="仿宋" w:hAnsi="仿宋" w:eastAsia="仿宋"/>
          <w:b/>
          <w:sz w:val="28"/>
          <w:szCs w:val="28"/>
          <w:highlight w:val="none"/>
        </w:rPr>
      </w:pPr>
      <w:r>
        <w:rPr>
          <w:rFonts w:hint="eastAsia" w:ascii="仿宋" w:hAnsi="仿宋" w:eastAsia="仿宋"/>
          <w:b/>
          <w:sz w:val="28"/>
          <w:szCs w:val="28"/>
          <w:highlight w:val="none"/>
        </w:rPr>
        <w:t>安全保密要求</w:t>
      </w:r>
    </w:p>
    <w:p>
      <w:pPr>
        <w:spacing w:line="480" w:lineRule="exact"/>
        <w:ind w:firstLine="560" w:firstLineChars="200"/>
        <w:rPr>
          <w:rFonts w:ascii="仿宋" w:hAnsi="仿宋" w:eastAsia="仿宋"/>
          <w:kern w:val="0"/>
          <w:sz w:val="28"/>
          <w:szCs w:val="28"/>
          <w:highlight w:val="none"/>
        </w:rPr>
      </w:pPr>
      <w:r>
        <w:rPr>
          <w:rFonts w:ascii="仿宋" w:hAnsi="仿宋" w:eastAsia="仿宋"/>
          <w:kern w:val="0"/>
          <w:sz w:val="28"/>
          <w:szCs w:val="28"/>
          <w:highlight w:val="none"/>
        </w:rPr>
        <w:t>1</w:t>
      </w:r>
      <w:r>
        <w:rPr>
          <w:rFonts w:hint="eastAsia" w:ascii="仿宋" w:hAnsi="仿宋" w:eastAsia="仿宋"/>
          <w:kern w:val="0"/>
          <w:sz w:val="28"/>
          <w:szCs w:val="28"/>
          <w:highlight w:val="none"/>
        </w:rPr>
        <w:t>.</w:t>
      </w:r>
      <w:r>
        <w:rPr>
          <w:rFonts w:hint="eastAsia" w:ascii="仿宋" w:hAnsi="仿宋" w:eastAsia="仿宋"/>
          <w:sz w:val="28"/>
          <w:szCs w:val="28"/>
          <w:highlight w:val="none"/>
        </w:rPr>
        <w:t>乙方</w:t>
      </w:r>
      <w:r>
        <w:rPr>
          <w:rFonts w:ascii="仿宋" w:hAnsi="仿宋" w:eastAsia="仿宋"/>
          <w:kern w:val="0"/>
          <w:sz w:val="28"/>
          <w:szCs w:val="28"/>
          <w:highlight w:val="none"/>
        </w:rPr>
        <w:t>及其服务人员均须与</w:t>
      </w:r>
      <w:r>
        <w:rPr>
          <w:rFonts w:hint="eastAsia" w:ascii="仿宋" w:hAnsi="仿宋" w:eastAsia="仿宋"/>
          <w:sz w:val="28"/>
          <w:szCs w:val="28"/>
          <w:highlight w:val="none"/>
        </w:rPr>
        <w:t>甲方</w:t>
      </w:r>
      <w:r>
        <w:rPr>
          <w:rFonts w:ascii="仿宋" w:hAnsi="仿宋" w:eastAsia="仿宋"/>
          <w:kern w:val="0"/>
          <w:sz w:val="28"/>
          <w:szCs w:val="28"/>
          <w:highlight w:val="none"/>
        </w:rPr>
        <w:t>签署相关保密协议，同时要求提供</w:t>
      </w:r>
      <w:r>
        <w:rPr>
          <w:rFonts w:hint="eastAsia" w:ascii="仿宋" w:hAnsi="仿宋" w:eastAsia="仿宋"/>
          <w:sz w:val="28"/>
          <w:szCs w:val="28"/>
          <w:highlight w:val="none"/>
        </w:rPr>
        <w:t>乙方</w:t>
      </w:r>
      <w:r>
        <w:rPr>
          <w:rFonts w:ascii="仿宋" w:hAnsi="仿宋" w:eastAsia="仿宋"/>
          <w:kern w:val="0"/>
          <w:sz w:val="28"/>
          <w:szCs w:val="28"/>
          <w:highlight w:val="none"/>
        </w:rPr>
        <w:t>与其服务人员就本次服务签署的保密协议。</w:t>
      </w:r>
    </w:p>
    <w:p>
      <w:pPr>
        <w:spacing w:line="480" w:lineRule="exact"/>
        <w:ind w:firstLine="560" w:firstLineChars="200"/>
        <w:rPr>
          <w:rFonts w:ascii="仿宋" w:hAnsi="仿宋" w:eastAsia="仿宋"/>
          <w:kern w:val="0"/>
          <w:sz w:val="28"/>
          <w:szCs w:val="28"/>
          <w:highlight w:val="none"/>
        </w:rPr>
      </w:pPr>
      <w:r>
        <w:rPr>
          <w:rFonts w:ascii="仿宋" w:hAnsi="仿宋" w:eastAsia="仿宋"/>
          <w:kern w:val="0"/>
          <w:sz w:val="28"/>
          <w:szCs w:val="28"/>
          <w:highlight w:val="none"/>
        </w:rPr>
        <w:t>2</w:t>
      </w:r>
      <w:r>
        <w:rPr>
          <w:rFonts w:hint="eastAsia" w:ascii="仿宋" w:hAnsi="仿宋" w:eastAsia="仿宋"/>
          <w:kern w:val="0"/>
          <w:sz w:val="28"/>
          <w:szCs w:val="28"/>
          <w:highlight w:val="none"/>
        </w:rPr>
        <w:t>.</w:t>
      </w:r>
      <w:r>
        <w:rPr>
          <w:rFonts w:ascii="仿宋" w:hAnsi="仿宋" w:eastAsia="仿宋"/>
          <w:kern w:val="0"/>
          <w:sz w:val="28"/>
          <w:szCs w:val="28"/>
          <w:highlight w:val="none"/>
        </w:rPr>
        <w:t>针对本服务项目，要求服务人员的变动率不得超过 20%，确需变更应提前通知</w:t>
      </w:r>
      <w:r>
        <w:rPr>
          <w:rFonts w:hint="eastAsia" w:ascii="仿宋" w:hAnsi="仿宋" w:eastAsia="仿宋"/>
          <w:sz w:val="28"/>
          <w:szCs w:val="28"/>
          <w:highlight w:val="none"/>
        </w:rPr>
        <w:t>甲方</w:t>
      </w:r>
      <w:r>
        <w:rPr>
          <w:rFonts w:ascii="仿宋" w:hAnsi="仿宋" w:eastAsia="仿宋"/>
          <w:kern w:val="0"/>
          <w:sz w:val="28"/>
          <w:szCs w:val="28"/>
          <w:highlight w:val="none"/>
        </w:rPr>
        <w:t>并获得批准后方可进行。</w:t>
      </w:r>
    </w:p>
    <w:p>
      <w:pPr>
        <w:spacing w:line="480" w:lineRule="exact"/>
        <w:ind w:firstLine="560" w:firstLineChars="200"/>
        <w:rPr>
          <w:rFonts w:ascii="仿宋" w:hAnsi="仿宋" w:eastAsia="仿宋"/>
          <w:kern w:val="0"/>
          <w:sz w:val="28"/>
          <w:szCs w:val="28"/>
          <w:highlight w:val="none"/>
        </w:rPr>
      </w:pPr>
      <w:r>
        <w:rPr>
          <w:rFonts w:ascii="仿宋" w:hAnsi="仿宋" w:eastAsia="仿宋"/>
          <w:kern w:val="0"/>
          <w:sz w:val="28"/>
          <w:szCs w:val="28"/>
          <w:highlight w:val="none"/>
        </w:rPr>
        <w:t>3</w:t>
      </w:r>
      <w:r>
        <w:rPr>
          <w:rFonts w:hint="eastAsia" w:ascii="仿宋" w:hAnsi="仿宋" w:eastAsia="仿宋"/>
          <w:kern w:val="0"/>
          <w:sz w:val="28"/>
          <w:szCs w:val="28"/>
          <w:highlight w:val="none"/>
        </w:rPr>
        <w:t>.</w:t>
      </w:r>
      <w:r>
        <w:rPr>
          <w:rFonts w:ascii="仿宋" w:hAnsi="仿宋" w:eastAsia="仿宋"/>
          <w:kern w:val="0"/>
          <w:sz w:val="28"/>
          <w:szCs w:val="28"/>
          <w:highlight w:val="none"/>
        </w:rPr>
        <w:t xml:space="preserve"> 服务过程中所有原始资料和数据均须妥善保管，仅限在项目组内为本服务项目所用，不得以任何方式外泄或用于其它用途，服务人员须及时删除存储在电脑中或纸质的数据和文件材料。</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第三条  合同期限、项目费用及支付方式</w:t>
      </w:r>
    </w:p>
    <w:p>
      <w:pPr>
        <w:numPr>
          <w:ilvl w:val="0"/>
          <w:numId w:val="4"/>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服务期限：本项目乙方向甲方提供服务的合同期限为12个月，自本合同签订生效之日起开始计算。</w:t>
      </w:r>
    </w:p>
    <w:p>
      <w:pPr>
        <w:numPr>
          <w:ilvl w:val="0"/>
          <w:numId w:val="4"/>
        </w:numPr>
        <w:spacing w:line="480" w:lineRule="exact"/>
        <w:rPr>
          <w:rFonts w:ascii="仿宋" w:hAnsi="仿宋" w:eastAsia="仿宋" w:cs="仿宋"/>
          <w:bCs/>
          <w:color w:val="666666"/>
          <w:sz w:val="28"/>
          <w:szCs w:val="28"/>
          <w:highlight w:val="none"/>
          <w:shd w:val="clear" w:color="auto" w:fill="FFFFFF"/>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务总费用（即项目总费用）为</w:t>
      </w:r>
      <w:r>
        <w:rPr>
          <w:rFonts w:hint="eastAsia" w:ascii="仿宋" w:hAnsi="仿宋" w:eastAsia="仿宋" w:cs="仿宋"/>
          <w:bCs/>
          <w:sz w:val="28"/>
          <w:szCs w:val="28"/>
          <w:highlight w:val="none"/>
          <w:u w:val="single"/>
        </w:rPr>
        <w:t>人民币XXX元整（￥XXX元）。</w:t>
      </w:r>
      <w:r>
        <w:rPr>
          <w:rFonts w:hint="eastAsia" w:ascii="仿宋" w:hAnsi="仿宋" w:eastAsia="仿宋" w:cs="仿宋"/>
          <w:sz w:val="28"/>
          <w:szCs w:val="28"/>
          <w:highlight w:val="none"/>
        </w:rPr>
        <w:t>项目总费用为含税价，且已包含甲方应付所有费用，甲方无需另行支付其他费</w:t>
      </w:r>
      <w:r>
        <w:rPr>
          <w:rFonts w:hint="eastAsia" w:ascii="仿宋" w:hAnsi="仿宋" w:eastAsia="仿宋" w:cs="仿宋"/>
          <w:bCs/>
          <w:color w:val="666666"/>
          <w:sz w:val="28"/>
          <w:szCs w:val="28"/>
          <w:highlight w:val="none"/>
          <w:shd w:val="clear" w:color="auto" w:fill="FFFFFF"/>
        </w:rPr>
        <w:t>。</w:t>
      </w:r>
    </w:p>
    <w:p>
      <w:pPr>
        <w:pStyle w:val="15"/>
        <w:widowControl/>
        <w:spacing w:line="480" w:lineRule="exact"/>
        <w:ind w:left="420" w:firstLine="0" w:firstLineChars="0"/>
        <w:rPr>
          <w:rFonts w:ascii="仿宋_GB2312" w:cs="仿宋" w:hAnsiTheme="majorEastAsia"/>
          <w:bCs/>
          <w:sz w:val="28"/>
          <w:szCs w:val="28"/>
          <w:highlight w:val="none"/>
        </w:rPr>
      </w:pPr>
      <w:r>
        <w:rPr>
          <w:rFonts w:ascii="仿宋_GB2312" w:cs="仿宋" w:hAnsiTheme="majorEastAsia"/>
          <w:bCs/>
          <w:sz w:val="28"/>
          <w:szCs w:val="28"/>
          <w:highlight w:val="none"/>
        </w:rPr>
        <w:t>（三）付款时间、方式。</w:t>
      </w:r>
    </w:p>
    <w:p>
      <w:pPr>
        <w:pStyle w:val="15"/>
        <w:spacing w:line="480" w:lineRule="exact"/>
        <w:ind w:left="420" w:firstLine="0" w:firstLineChars="0"/>
        <w:rPr>
          <w:rFonts w:ascii="仿宋_GB2312" w:cs="仿宋" w:hAnsiTheme="majorEastAsia"/>
          <w:bCs/>
          <w:sz w:val="28"/>
          <w:szCs w:val="28"/>
          <w:highlight w:val="none"/>
        </w:rPr>
      </w:pPr>
      <w:r>
        <w:rPr>
          <w:rFonts w:hint="eastAsia" w:ascii="仿宋_GB2312" w:cs="仿宋" w:hAnsiTheme="majorEastAsia"/>
          <w:bCs/>
          <w:sz w:val="28"/>
          <w:szCs w:val="28"/>
          <w:highlight w:val="none"/>
        </w:rPr>
        <w:t>双方签署合同后，甲方分两期支付相应的款项给乙方：</w:t>
      </w:r>
    </w:p>
    <w:p>
      <w:pPr>
        <w:spacing w:line="480" w:lineRule="exact"/>
        <w:ind w:firstLine="560" w:firstLineChars="200"/>
        <w:rPr>
          <w:rFonts w:ascii="仿宋" w:hAnsi="仿宋" w:eastAsia="仿宋" w:cs="仿宋"/>
          <w:bCs/>
          <w:sz w:val="28"/>
          <w:szCs w:val="28"/>
          <w:highlight w:val="none"/>
          <w:u w:val="single"/>
        </w:rPr>
      </w:pPr>
      <w:r>
        <w:rPr>
          <w:rFonts w:hint="eastAsia" w:ascii="仿宋" w:hAnsi="仿宋" w:eastAsia="仿宋" w:cs="仿宋"/>
          <w:color w:val="000000"/>
          <w:sz w:val="28"/>
          <w:szCs w:val="28"/>
          <w:highlight w:val="none"/>
        </w:rPr>
        <w:t>1、第一期：本合同签订生效后，甲方收到乙方开具的相应金额发票之日起30个工作日内向乙方支付合同总金额的50%，即人民币</w:t>
      </w:r>
      <w:r>
        <w:rPr>
          <w:rFonts w:hint="eastAsia" w:ascii="仿宋" w:hAnsi="仿宋" w:eastAsia="仿宋" w:cs="仿宋"/>
          <w:bCs/>
          <w:sz w:val="28"/>
          <w:szCs w:val="28"/>
          <w:highlight w:val="none"/>
          <w:u w:val="single"/>
        </w:rPr>
        <w:t>XXX元整（￥XXX元）；</w:t>
      </w:r>
    </w:p>
    <w:p>
      <w:p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2、第二期：本项目经甲方验收合格后，且甲方收到乙方开具的相应金额发票之日起30个工作日内向乙方支付剩余款项，即人民币</w:t>
      </w:r>
      <w:r>
        <w:rPr>
          <w:rFonts w:hint="eastAsia" w:ascii="仿宋" w:hAnsi="仿宋" w:eastAsia="仿宋" w:cs="仿宋"/>
          <w:bCs/>
          <w:sz w:val="28"/>
          <w:szCs w:val="28"/>
          <w:highlight w:val="none"/>
          <w:u w:val="single"/>
        </w:rPr>
        <w:t>XXX元整（￥XXX元）</w:t>
      </w:r>
      <w:r>
        <w:rPr>
          <w:rFonts w:hint="eastAsia" w:ascii="仿宋" w:hAnsi="仿宋" w:eastAsia="仿宋" w:cs="仿宋"/>
          <w:color w:val="000000"/>
          <w:sz w:val="28"/>
          <w:szCs w:val="28"/>
          <w:highlight w:val="none"/>
        </w:rPr>
        <w:t>。</w:t>
      </w:r>
    </w:p>
    <w:p>
      <w:p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pStyle w:val="2"/>
        <w:spacing w:line="480" w:lineRule="exact"/>
        <w:ind w:firstLine="560"/>
        <w:rPr>
          <w:rFonts w:eastAsia="仿宋"/>
          <w:highlight w:val="none"/>
        </w:rPr>
      </w:pPr>
      <w:r>
        <w:rPr>
          <w:rFonts w:hint="eastAsia" w:ascii="仿宋" w:hAnsi="仿宋" w:eastAsia="仿宋" w:cs="仿宋"/>
          <w:color w:val="000000"/>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spacing w:line="480" w:lineRule="exact"/>
        <w:ind w:left="420"/>
        <w:rPr>
          <w:rFonts w:ascii="仿宋" w:hAnsi="仿宋" w:eastAsia="仿宋" w:cs="仿宋"/>
          <w:sz w:val="28"/>
          <w:szCs w:val="28"/>
          <w:highlight w:val="none"/>
        </w:rPr>
      </w:pPr>
      <w:r>
        <w:rPr>
          <w:rFonts w:hint="eastAsia" w:ascii="仿宋" w:hAnsi="仿宋" w:eastAsia="仿宋" w:cs="仿宋"/>
          <w:color w:val="000000"/>
          <w:sz w:val="28"/>
          <w:szCs w:val="28"/>
          <w:highlight w:val="none"/>
        </w:rPr>
        <w:t>（四）</w:t>
      </w: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9"/>
        <w:spacing w:line="480" w:lineRule="exact"/>
        <w:ind w:left="560"/>
        <w:rPr>
          <w:rFonts w:ascii="仿宋" w:hAnsi="仿宋" w:eastAsia="仿宋" w:cs="仿宋"/>
          <w:sz w:val="28"/>
          <w:szCs w:val="28"/>
          <w:highlight w:val="none"/>
        </w:rPr>
      </w:pPr>
      <w:r>
        <w:rPr>
          <w:rFonts w:hint="eastAsia" w:ascii="仿宋" w:hAnsi="仿宋" w:eastAsia="仿宋" w:cs="仿宋"/>
          <w:sz w:val="28"/>
          <w:szCs w:val="28"/>
          <w:highlight w:val="none"/>
        </w:rPr>
        <w:t>（五）甲方开票信息如下：</w:t>
      </w:r>
    </w:p>
    <w:p>
      <w:pPr>
        <w:pStyle w:val="9"/>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9"/>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第四条  验收方式</w:t>
      </w:r>
      <w:r>
        <w:rPr>
          <w:rFonts w:hint="eastAsia" w:ascii="仿宋" w:hAnsi="仿宋" w:eastAsia="仿宋" w:cs="仿宋"/>
          <w:color w:val="666666"/>
          <w:sz w:val="28"/>
          <w:szCs w:val="28"/>
          <w:highlight w:val="none"/>
          <w:shd w:val="clear" w:color="auto" w:fill="FFFFFF"/>
        </w:rPr>
        <w:t xml:space="preserve"> </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本合同、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的，乙方应在甲方指定期限内采取弥补措施并再次提交给甲方验收；验收合格后由甲方和乙方共同签字确认作为结算的依据。</w:t>
      </w:r>
    </w:p>
    <w:p>
      <w:pPr>
        <w:numPr>
          <w:ilvl w:val="255"/>
          <w:numId w:val="0"/>
        </w:numPr>
        <w:spacing w:line="480" w:lineRule="exact"/>
        <w:ind w:firstLine="560" w:firstLineChars="200"/>
        <w:rPr>
          <w:highlight w:val="none"/>
        </w:rPr>
      </w:pPr>
      <w:r>
        <w:rPr>
          <w:rFonts w:hint="eastAsia" w:ascii="仿宋" w:hAnsi="仿宋" w:eastAsia="仿宋" w:cs="仿宋"/>
          <w:sz w:val="28"/>
          <w:szCs w:val="28"/>
          <w:highlight w:val="none"/>
        </w:rPr>
        <w:t>（四）</w:t>
      </w:r>
      <w:r>
        <w:rPr>
          <w:rFonts w:ascii="仿宋" w:hAnsi="仿宋" w:eastAsia="仿宋" w:cs="仿宋"/>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甲方的权利和义务</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6"/>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rPr>
          <w:rFonts w:ascii="仿宋" w:hAnsi="仿宋" w:eastAsia="仿宋" w:cs="仿宋"/>
          <w:sz w:val="28"/>
          <w:szCs w:val="28"/>
          <w:highlight w:val="none"/>
          <w:lang w:bidi="ar"/>
        </w:rPr>
      </w:pPr>
      <w:r>
        <w:rPr>
          <w:rFonts w:hint="eastAsia" w:ascii="仿宋" w:hAnsi="仿宋" w:eastAsia="仿宋" w:cs="仿宋"/>
          <w:sz w:val="28"/>
          <w:szCs w:val="28"/>
          <w:highlight w:val="none"/>
        </w:rPr>
        <w:t>在本合同服务期间，乙方应为乙方的雇佣人员进行投保，并对雇佣人员的劳资纠纷、伤亡所导致的损失和索赔自行承担责任，甲方不承担乙方所</w:t>
      </w:r>
      <w:r>
        <w:rPr>
          <w:rFonts w:ascii="仿宋" w:hAnsi="仿宋" w:eastAsia="仿宋" w:cs="仿宋"/>
          <w:sz w:val="28"/>
          <w:szCs w:val="28"/>
          <w:highlight w:val="none"/>
        </w:rPr>
        <w:t>雇佣</w:t>
      </w:r>
      <w:r>
        <w:rPr>
          <w:rFonts w:hint="eastAsia" w:ascii="仿宋" w:hAnsi="仿宋" w:eastAsia="仿宋" w:cs="仿宋"/>
          <w:sz w:val="28"/>
          <w:szCs w:val="28"/>
          <w:highlight w:val="none"/>
        </w:rPr>
        <w:t>人员的任何用工责任。由此引起甲方被追索责任的，一切赔偿及费用支出（包括但不限于律师费、调查费、差旅费、诉讼费、赔偿款等）等均由乙方承担</w:t>
      </w:r>
      <w:r>
        <w:rPr>
          <w:rFonts w:hint="eastAsia" w:ascii="仿宋" w:hAnsi="仿宋" w:eastAsia="仿宋" w:cs="仿宋"/>
          <w:sz w:val="28"/>
          <w:szCs w:val="28"/>
          <w:highlight w:val="none"/>
          <w:lang w:bidi="ar"/>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保密</w:t>
      </w:r>
    </w:p>
    <w:p>
      <w:pPr>
        <w:numPr>
          <w:ilvl w:val="0"/>
          <w:numId w:val="8"/>
        </w:numPr>
        <w:adjustRightInd w:val="0"/>
        <w:snapToGrid w:val="0"/>
        <w:spacing w:line="480" w:lineRule="exac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必须采取措施对本项目实施过程中接触的甲方数据库、文字、图表、报告等相关材料保密。乙方不得将上述保密内容提供给与任何第三方，不得将其用于履行本合同之外的其它用途，即使向与履行本合同有关的人员提供，乙方也应注意保密并限于履行合同所必需的范围。否则，乙方</w:t>
      </w:r>
      <w:r>
        <w:rPr>
          <w:rFonts w:hint="eastAsia" w:ascii="仿宋_GB2312" w:hAnsi="仿宋_GB2312" w:cs="仿宋_GB2312"/>
          <w:color w:val="000000"/>
          <w:sz w:val="28"/>
          <w:szCs w:val="28"/>
          <w:highlight w:val="none"/>
        </w:rPr>
        <w:t>应当依法承担相应的法律责任</w:t>
      </w:r>
      <w:r>
        <w:rPr>
          <w:rFonts w:hint="eastAsia" w:ascii="仿宋" w:hAnsi="仿宋" w:eastAsia="仿宋" w:cs="仿宋"/>
          <w:sz w:val="28"/>
          <w:szCs w:val="28"/>
          <w:highlight w:val="none"/>
          <w:lang w:bidi="ar"/>
        </w:rPr>
        <w:t>包括但不限于律师费、诉讼费、赔偿款、交通费、调查费等。前述信息资料均属于永久保密期限范围，均对乙方有约束力，不因合同的变更、解除、终止而终止。</w:t>
      </w:r>
    </w:p>
    <w:p>
      <w:pPr>
        <w:numPr>
          <w:ilvl w:val="0"/>
          <w:numId w:val="8"/>
        </w:numPr>
        <w:adjustRightInd w:val="0"/>
        <w:snapToGrid w:val="0"/>
        <w:spacing w:line="480" w:lineRule="exac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乙方违反本条约定的保密义务的，应按本合同总价的30%向甲方支付违约金，违约金不足以弥补甲方损失的，应承担损害赔偿责任</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知识产权</w:t>
      </w:r>
    </w:p>
    <w:p>
      <w:pPr>
        <w:pStyle w:val="16"/>
        <w:numPr>
          <w:ilvl w:val="0"/>
          <w:numId w:val="9"/>
        </w:numPr>
        <w:shd w:val="clear" w:color="auto" w:fill="auto"/>
        <w:tabs>
          <w:tab w:val="left" w:pos="934"/>
        </w:tabs>
        <w:spacing w:before="0" w:line="480" w:lineRule="exact"/>
        <w:jc w:val="both"/>
        <w:rPr>
          <w:rFonts w:ascii="仿宋" w:hAnsi="仿宋" w:eastAsia="仿宋" w:cs="仿宋"/>
          <w:sz w:val="28"/>
          <w:szCs w:val="28"/>
          <w:highlight w:val="none"/>
        </w:rPr>
      </w:pPr>
      <w:r>
        <w:rPr>
          <w:rFonts w:hint="eastAsia" w:ascii="仿宋" w:hAnsi="仿宋" w:eastAsia="仿宋" w:cs="仿宋"/>
          <w:sz w:val="28"/>
          <w:szCs w:val="28"/>
          <w:highlight w:val="none"/>
        </w:rPr>
        <w:t>乙方在项目实施过程中不得侵犯第三人知识产权以及其他权益。需要使用第三人知识产权的，乙方应取得权利人许可或者授权并由乙方承担费用。</w:t>
      </w:r>
    </w:p>
    <w:p>
      <w:pPr>
        <w:pStyle w:val="2"/>
        <w:numPr>
          <w:ilvl w:val="0"/>
          <w:numId w:val="9"/>
        </w:numPr>
        <w:spacing w:line="480" w:lineRule="exact"/>
        <w:ind w:firstLine="560" w:firstLineChars="0"/>
        <w:rPr>
          <w:sz w:val="28"/>
          <w:szCs w:val="28"/>
          <w:highlight w:val="none"/>
        </w:rPr>
      </w:pPr>
      <w:r>
        <w:rPr>
          <w:rFonts w:hint="eastAsia" w:ascii="仿宋" w:hAnsi="仿宋" w:eastAsia="仿宋" w:cs="仿宋"/>
          <w:sz w:val="28"/>
          <w:szCs w:val="28"/>
          <w:highlight w:val="none"/>
        </w:rPr>
        <w:t>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第十条  违约责任</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（3）未经甲方同意，乙方不得将本合同项目部分或全部技术服务工作转让第三人负责。</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3、若甲方因乙方违约单方解除合同、另行委托第三方提供服务或协助乙方，因此产生的费用由乙方全部承担。解除的通知自到达乙方之日起即生效。</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第十一条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2"/>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12"/>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第十三条 其他</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甲、乙双方在本合同项下的地址和联系方式为文件有效的送达地址，文件一经到达即视为送达；一方如有变更，应在变更前3日内通知对方，否则，视为未变更。</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本合同一式肆份，甲方执叁份、乙方执壹份，具有同等法律效力。</w:t>
      </w:r>
    </w:p>
    <w:p>
      <w:pPr>
        <w:pStyle w:val="10"/>
        <w:numPr>
          <w:ilvl w:val="0"/>
          <w:numId w:val="13"/>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14"/>
        </w:numPr>
        <w:ind w:firstLine="608"/>
        <w:rPr>
          <w:rFonts w:ascii="仿宋" w:hAnsi="仿宋" w:eastAsia="仿宋" w:cs="仿宋"/>
          <w:szCs w:val="28"/>
          <w:highlight w:val="none"/>
        </w:rPr>
      </w:pPr>
      <w:r>
        <w:rPr>
          <w:rFonts w:ascii="仿宋" w:hAnsi="仿宋" w:eastAsia="仿宋" w:cs="仿宋"/>
          <w:szCs w:val="28"/>
          <w:highlight w:val="none"/>
        </w:rPr>
        <w:t>江门市</w:t>
      </w:r>
      <w:r>
        <w:rPr>
          <w:rFonts w:hint="eastAsia" w:ascii="仿宋" w:hAnsi="仿宋" w:eastAsia="仿宋" w:cs="仿宋"/>
          <w:szCs w:val="28"/>
          <w:highlight w:val="none"/>
        </w:rPr>
        <w:t>市场监督管理局</w:t>
      </w:r>
      <w:r>
        <w:rPr>
          <w:rFonts w:hint="eastAsia" w:ascii="仿宋" w:hAnsi="仿宋" w:eastAsia="仿宋" w:cs="仿宋"/>
          <w:szCs w:val="28"/>
          <w:highlight w:val="none"/>
          <w:u w:val="single"/>
        </w:rPr>
        <w:t>XX</w:t>
      </w:r>
      <w:r>
        <w:rPr>
          <w:rFonts w:hint="eastAsia" w:ascii="仿宋" w:hAnsi="仿宋" w:eastAsia="仿宋" w:cs="仿宋"/>
          <w:szCs w:val="28"/>
          <w:highlight w:val="none"/>
        </w:rPr>
        <w:t>采购公告；</w:t>
      </w:r>
    </w:p>
    <w:p>
      <w:pPr>
        <w:pStyle w:val="10"/>
        <w:numPr>
          <w:ilvl w:val="0"/>
          <w:numId w:val="14"/>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14"/>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《江门市市场监督管理局网络安全服务项目工作方案》；</w:t>
      </w:r>
    </w:p>
    <w:p>
      <w:pPr>
        <w:pStyle w:val="10"/>
        <w:numPr>
          <w:ilvl w:val="0"/>
          <w:numId w:val="14"/>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10"/>
        <w:ind w:firstLine="608"/>
        <w:rPr>
          <w:rFonts w:ascii="仿宋" w:hAnsi="仿宋" w:eastAsia="仿宋" w:cs="仿宋"/>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4EA83"/>
    <w:multiLevelType w:val="singleLevel"/>
    <w:tmpl w:val="8CD4EA83"/>
    <w:lvl w:ilvl="0" w:tentative="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98B5EF65"/>
    <w:multiLevelType w:val="singleLevel"/>
    <w:tmpl w:val="98B5EF65"/>
    <w:lvl w:ilvl="0" w:tentative="0">
      <w:start w:val="1"/>
      <w:numFmt w:val="chineseCounting"/>
      <w:suff w:val="nothing"/>
      <w:lvlText w:val="（%1）"/>
      <w:lvlJc w:val="left"/>
      <w:pPr>
        <w:ind w:left="0" w:firstLine="420"/>
      </w:pPr>
      <w:rPr>
        <w:rFonts w:hint="eastAsia"/>
      </w:rPr>
    </w:lvl>
  </w:abstractNum>
  <w:abstractNum w:abstractNumId="3">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EC588B0B"/>
    <w:multiLevelType w:val="singleLevel"/>
    <w:tmpl w:val="EC588B0B"/>
    <w:lvl w:ilvl="0" w:tentative="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7">
    <w:nsid w:val="19AD0CBC"/>
    <w:multiLevelType w:val="singleLevel"/>
    <w:tmpl w:val="19AD0CBC"/>
    <w:lvl w:ilvl="0" w:tentative="0">
      <w:start w:val="1"/>
      <w:numFmt w:val="decimal"/>
      <w:suff w:val="nothing"/>
      <w:lvlText w:val="%1．"/>
      <w:lvlJc w:val="left"/>
      <w:pPr>
        <w:ind w:left="0" w:firstLine="400"/>
      </w:pPr>
      <w:rPr>
        <w:rFonts w:hint="default"/>
      </w:rPr>
    </w:lvl>
  </w:abstractNum>
  <w:abstractNum w:abstractNumId="8">
    <w:nsid w:val="4A415F69"/>
    <w:multiLevelType w:val="multilevel"/>
    <w:tmpl w:val="4A415F6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8"/>
  </w:num>
  <w:num w:numId="2">
    <w:abstractNumId w:val="0"/>
  </w:num>
  <w:num w:numId="3">
    <w:abstractNumId w:val="7"/>
  </w:num>
  <w:num w:numId="4">
    <w:abstractNumId w:val="6"/>
  </w:num>
  <w:num w:numId="5">
    <w:abstractNumId w:val="12"/>
  </w:num>
  <w:num w:numId="6">
    <w:abstractNumId w:val="13"/>
  </w:num>
  <w:num w:numId="7">
    <w:abstractNumId w:val="3"/>
  </w:num>
  <w:num w:numId="8">
    <w:abstractNumId w:val="5"/>
  </w:num>
  <w:num w:numId="9">
    <w:abstractNumId w:val="2"/>
  </w:num>
  <w:num w:numId="10">
    <w:abstractNumId w:val="10"/>
  </w:num>
  <w:num w:numId="11">
    <w:abstractNumId w:val="9"/>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966675"/>
    <w:rsid w:val="00062E88"/>
    <w:rsid w:val="00074E1C"/>
    <w:rsid w:val="000F477F"/>
    <w:rsid w:val="0014004F"/>
    <w:rsid w:val="00153DD7"/>
    <w:rsid w:val="00201EA2"/>
    <w:rsid w:val="002532FC"/>
    <w:rsid w:val="002554E6"/>
    <w:rsid w:val="002A6113"/>
    <w:rsid w:val="002B111C"/>
    <w:rsid w:val="00354426"/>
    <w:rsid w:val="00393EB9"/>
    <w:rsid w:val="003B032C"/>
    <w:rsid w:val="003F4931"/>
    <w:rsid w:val="00423079"/>
    <w:rsid w:val="004D6E31"/>
    <w:rsid w:val="004F44FA"/>
    <w:rsid w:val="00511DBE"/>
    <w:rsid w:val="005620AE"/>
    <w:rsid w:val="00573684"/>
    <w:rsid w:val="00577E76"/>
    <w:rsid w:val="005E343C"/>
    <w:rsid w:val="005F51AA"/>
    <w:rsid w:val="00604BFC"/>
    <w:rsid w:val="007B070B"/>
    <w:rsid w:val="00852D23"/>
    <w:rsid w:val="00872D17"/>
    <w:rsid w:val="00887923"/>
    <w:rsid w:val="0090546A"/>
    <w:rsid w:val="0090713C"/>
    <w:rsid w:val="00920A49"/>
    <w:rsid w:val="009279EF"/>
    <w:rsid w:val="00942308"/>
    <w:rsid w:val="00966675"/>
    <w:rsid w:val="009750F2"/>
    <w:rsid w:val="009B25D5"/>
    <w:rsid w:val="009D16A4"/>
    <w:rsid w:val="00A0165B"/>
    <w:rsid w:val="00A34608"/>
    <w:rsid w:val="00A908A3"/>
    <w:rsid w:val="00AA5C49"/>
    <w:rsid w:val="00AC43E3"/>
    <w:rsid w:val="00AE5953"/>
    <w:rsid w:val="00B22597"/>
    <w:rsid w:val="00BA4CD2"/>
    <w:rsid w:val="00BE2DB3"/>
    <w:rsid w:val="00BF631D"/>
    <w:rsid w:val="00C67D60"/>
    <w:rsid w:val="00C9079C"/>
    <w:rsid w:val="00D04B23"/>
    <w:rsid w:val="00D40F41"/>
    <w:rsid w:val="00D64AF4"/>
    <w:rsid w:val="00D75B02"/>
    <w:rsid w:val="00DD0895"/>
    <w:rsid w:val="00DF50B5"/>
    <w:rsid w:val="00E45D2A"/>
    <w:rsid w:val="00E870A4"/>
    <w:rsid w:val="00E90C7B"/>
    <w:rsid w:val="00F43C7A"/>
    <w:rsid w:val="00F74E30"/>
    <w:rsid w:val="00FA7B28"/>
    <w:rsid w:val="00FB1C9D"/>
    <w:rsid w:val="00FD7A12"/>
    <w:rsid w:val="09D77ACF"/>
    <w:rsid w:val="09DE0A66"/>
    <w:rsid w:val="0BEA35C3"/>
    <w:rsid w:val="0DDF3CA5"/>
    <w:rsid w:val="0FB72321"/>
    <w:rsid w:val="10FC4243"/>
    <w:rsid w:val="154255FC"/>
    <w:rsid w:val="171724B5"/>
    <w:rsid w:val="17A2486B"/>
    <w:rsid w:val="1A19383D"/>
    <w:rsid w:val="20075F93"/>
    <w:rsid w:val="236D6AD1"/>
    <w:rsid w:val="24EE444C"/>
    <w:rsid w:val="28D33489"/>
    <w:rsid w:val="28F2788A"/>
    <w:rsid w:val="293A0576"/>
    <w:rsid w:val="2D016C87"/>
    <w:rsid w:val="391A5AE0"/>
    <w:rsid w:val="3B19643C"/>
    <w:rsid w:val="3FA76621"/>
    <w:rsid w:val="404A6C17"/>
    <w:rsid w:val="43F43818"/>
    <w:rsid w:val="47C7B3FB"/>
    <w:rsid w:val="4B562BFB"/>
    <w:rsid w:val="4D261BEA"/>
    <w:rsid w:val="4DD70C4E"/>
    <w:rsid w:val="5789094D"/>
    <w:rsid w:val="5BB2671C"/>
    <w:rsid w:val="689E49E8"/>
    <w:rsid w:val="690D3BC4"/>
    <w:rsid w:val="693B3F28"/>
    <w:rsid w:val="6B7E7578"/>
    <w:rsid w:val="6C7B1287"/>
    <w:rsid w:val="6F5F4F93"/>
    <w:rsid w:val="72AF67A9"/>
    <w:rsid w:val="74841C6E"/>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w:basedOn w:val="1"/>
    <w:link w:val="17"/>
    <w:qFormat/>
    <w:uiPriority w:val="0"/>
    <w:pPr>
      <w:spacing w:after="120"/>
    </w:pPr>
    <w:rPr>
      <w:rFonts w:ascii="Calibri" w:hAnsi="Calibri" w:eastAsia="宋体"/>
      <w:sz w:val="21"/>
      <w:szCs w:val="22"/>
    </w:r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 w:type="paragraph" w:styleId="15">
    <w:name w:val="List Paragraph"/>
    <w:basedOn w:val="1"/>
    <w:unhideWhenUsed/>
    <w:uiPriority w:val="99"/>
    <w:pPr>
      <w:ind w:firstLine="420" w:firstLineChars="200"/>
    </w:pPr>
  </w:style>
  <w:style w:type="paragraph" w:customStyle="1" w:styleId="16">
    <w:name w:val="正文文本 (2)2"/>
    <w:basedOn w:val="1"/>
    <w:qFormat/>
    <w:uiPriority w:val="0"/>
    <w:pPr>
      <w:shd w:val="clear" w:color="auto" w:fill="FFFFFF"/>
      <w:spacing w:before="3060" w:line="0" w:lineRule="atLeast"/>
      <w:jc w:val="center"/>
    </w:pPr>
    <w:rPr>
      <w:rFonts w:ascii="MingLiU" w:hAnsi="MingLiU" w:eastAsia="MingLiU" w:cs="MingLiU"/>
      <w:sz w:val="26"/>
      <w:szCs w:val="26"/>
    </w:rPr>
  </w:style>
  <w:style w:type="character" w:customStyle="1" w:styleId="17">
    <w:name w:val="正文文本 Char"/>
    <w:basedOn w:val="12"/>
    <w:link w:val="4"/>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13</Pages>
  <Words>1088</Words>
  <Characters>6202</Characters>
  <Lines>51</Lines>
  <Paragraphs>14</Paragraphs>
  <TotalTime>67</TotalTime>
  <ScaleCrop>false</ScaleCrop>
  <LinksUpToDate>false</LinksUpToDate>
  <CharactersWithSpaces>7276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2021-05-25T18:58:00Z</dcterms:created>
  <dc:creator>Administrator</dc:creator>
  <cp:lastModifiedBy>采联-赵小姐</cp:lastModifiedBy>
  <cp:lastPrinted>2022-11-14T00:59:00Z</cp:lastPrinted>
  <dcterms:modified xsi:type="dcterms:W3CDTF">2022-11-16T02:17:45Z</dcterms:modified>
  <dc:title>2020年江门市工业产品生产许可证证后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F89E2487F82949029D8AB9F341EA8070</vt:lpwstr>
  </property>
</Properties>
</file>