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lang w:eastAsia="zh-CN"/>
        </w:rPr>
        <w:t>江门</w:t>
      </w:r>
      <w:r>
        <w:rPr>
          <w:rFonts w:hint="eastAsia" w:asciiTheme="majorEastAsia" w:hAnsiTheme="majorEastAsia" w:eastAsiaTheme="majorEastAsia" w:cstheme="majorEastAsia"/>
          <w:b/>
          <w:bCs/>
          <w:sz w:val="44"/>
          <w:szCs w:val="44"/>
        </w:rPr>
        <w:t>市</w:t>
      </w:r>
      <w:r>
        <w:rPr>
          <w:rFonts w:hint="eastAsia" w:asciiTheme="majorEastAsia" w:hAnsiTheme="majorEastAsia" w:eastAsiaTheme="majorEastAsia" w:cstheme="majorEastAsia"/>
          <w:b/>
          <w:bCs/>
          <w:sz w:val="44"/>
          <w:szCs w:val="44"/>
          <w:lang w:eastAsia="zh-CN"/>
        </w:rPr>
        <w:t>特殊</w:t>
      </w:r>
      <w:r>
        <w:rPr>
          <w:rFonts w:hint="eastAsia" w:asciiTheme="majorEastAsia" w:hAnsiTheme="majorEastAsia" w:eastAsiaTheme="majorEastAsia" w:cstheme="majorEastAsia"/>
          <w:b/>
          <w:bCs/>
          <w:sz w:val="44"/>
          <w:szCs w:val="44"/>
        </w:rPr>
        <w:t>建设工程</w:t>
      </w:r>
    </w:p>
    <w:p>
      <w:pPr>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rPr>
        <w:t>消防设计审查办事指南</w:t>
      </w:r>
    </w:p>
    <w:p>
      <w:pPr>
        <w:rPr>
          <w:rFonts w:hint="eastAsia" w:ascii="仿宋" w:hAnsi="仿宋" w:eastAsia="仿宋" w:cs="仿宋"/>
          <w:sz w:val="32"/>
          <w:szCs w:val="32"/>
        </w:rPr>
      </w:pPr>
    </w:p>
    <w:p>
      <w:pPr>
        <w:rPr>
          <w:rFonts w:hint="eastAsia" w:ascii="黑体" w:hAnsi="黑体" w:eastAsia="黑体" w:cs="黑体"/>
          <w:sz w:val="32"/>
          <w:szCs w:val="32"/>
          <w:lang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事项名称</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特殊建设工程消防设计审查</w:t>
      </w:r>
    </w:p>
    <w:p>
      <w:pPr>
        <w:rPr>
          <w:rFonts w:hint="eastAsia" w:ascii="黑体" w:hAnsi="黑体" w:eastAsia="黑体" w:cs="黑体"/>
          <w:sz w:val="32"/>
          <w:szCs w:val="32"/>
        </w:rPr>
      </w:pPr>
      <w:r>
        <w:rPr>
          <w:rFonts w:hint="eastAsia" w:ascii="黑体" w:hAnsi="黑体" w:eastAsia="黑体" w:cs="黑体"/>
          <w:sz w:val="32"/>
          <w:szCs w:val="32"/>
        </w:rPr>
        <w:t>二、事项类型</w:t>
      </w:r>
    </w:p>
    <w:p>
      <w:pPr>
        <w:rPr>
          <w:rFonts w:hint="eastAsia" w:ascii="仿宋" w:hAnsi="仿宋" w:eastAsia="仿宋" w:cs="仿宋"/>
          <w:sz w:val="32"/>
          <w:szCs w:val="32"/>
        </w:rPr>
      </w:pPr>
      <w:r>
        <w:rPr>
          <w:rFonts w:hint="eastAsia" w:ascii="仿宋" w:hAnsi="仿宋" w:eastAsia="仿宋" w:cs="仿宋"/>
          <w:sz w:val="32"/>
          <w:szCs w:val="32"/>
        </w:rPr>
        <w:t>行政许可</w:t>
      </w:r>
    </w:p>
    <w:p>
      <w:pPr>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lang w:val="en-US" w:eastAsia="zh-CN"/>
        </w:rPr>
        <w:t>办理</w:t>
      </w:r>
      <w:r>
        <w:rPr>
          <w:rFonts w:hint="eastAsia" w:ascii="黑体" w:hAnsi="黑体" w:eastAsia="黑体" w:cs="黑体"/>
          <w:sz w:val="32"/>
          <w:szCs w:val="32"/>
        </w:rPr>
        <w:t>依据</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1.《中华人民共和国建筑法》；</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2.《中华人民共和国消防法</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（2021年修改）；</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ascii="仿宋_GB2312+ZLAHcq-1" w:hAnsi="仿宋_GB2312+ZLAHcq-1" w:eastAsia="仿宋_GB2312+ZLAHcq-1" w:cs="仿宋_GB2312+ZLAHcq-1"/>
          <w:sz w:val="32"/>
          <w:szCs w:val="32"/>
        </w:rPr>
        <w:t xml:space="preserve">《 </w:t>
      </w:r>
      <w:r>
        <w:rPr>
          <w:rFonts w:hint="eastAsia" w:ascii="仿宋_GB2312" w:eastAsia="仿宋_GB2312" w:cs="仿宋_GB2312"/>
          <w:sz w:val="32"/>
          <w:szCs w:val="32"/>
        </w:rPr>
        <w:t xml:space="preserve">住房和城乡建设部关于修改&lt;房屋建筑和市政基础设施工程施工图设计文件审查管理办法&gt;的决定 </w:t>
      </w:r>
      <w:r>
        <w:rPr>
          <w:rFonts w:hint="default" w:ascii="仿宋_GB2312+ZLAHcq-1" w:hAnsi="仿宋_GB2312+ZLAHcq-1" w:eastAsia="仿宋_GB2312+ZLAHcq-1" w:cs="仿宋_GB2312+ZLAHcq-1"/>
          <w:sz w:val="32"/>
          <w:szCs w:val="32"/>
        </w:rPr>
        <w:t>》</w:t>
      </w:r>
      <w:r>
        <w:rPr>
          <w:rFonts w:hint="eastAsia" w:ascii="仿宋_GB2312" w:eastAsia="仿宋_GB2312" w:cs="仿宋_GB2312"/>
          <w:sz w:val="32"/>
          <w:szCs w:val="32"/>
        </w:rPr>
        <w:t>（住房和城乡建设部令第46号）</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4.</w:t>
      </w:r>
      <w:r>
        <w:rPr>
          <w:rFonts w:hint="eastAsia" w:ascii="仿宋" w:hAnsi="仿宋" w:eastAsia="仿宋" w:cs="仿宋"/>
          <w:sz w:val="32"/>
          <w:szCs w:val="32"/>
          <w:lang w:val="en-US" w:eastAsia="zh-CN"/>
        </w:rPr>
        <w:t>《建设工程消防设计审查验收管理暂行规定》</w:t>
      </w:r>
      <w:r>
        <w:rPr>
          <w:rFonts w:hint="eastAsia" w:ascii="仿宋" w:hAnsi="仿宋" w:eastAsia="仿宋" w:cs="仿宋"/>
          <w:sz w:val="32"/>
          <w:szCs w:val="32"/>
        </w:rPr>
        <w:t>（</w:t>
      </w:r>
      <w:r>
        <w:rPr>
          <w:rFonts w:hint="eastAsia" w:ascii="仿宋" w:hAnsi="仿宋" w:eastAsia="仿宋" w:cs="仿宋"/>
          <w:sz w:val="32"/>
          <w:szCs w:val="32"/>
          <w:lang w:val="en-US" w:eastAsia="zh-CN"/>
        </w:rPr>
        <w:t>住建部</w:t>
      </w:r>
      <w:r>
        <w:rPr>
          <w:rFonts w:hint="eastAsia" w:ascii="仿宋" w:hAnsi="仿宋" w:eastAsia="仿宋" w:cs="仿宋"/>
          <w:sz w:val="32"/>
          <w:szCs w:val="32"/>
        </w:rPr>
        <w:t>令第51 号，下称《暂行规定》）</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仿宋_GB2312" w:eastAsia="仿宋_GB2312"/>
          <w:sz w:val="32"/>
          <w:szCs w:val="32"/>
          <w:lang w:val="en-US"/>
        </w:rPr>
      </w:pPr>
      <w:r>
        <w:rPr>
          <w:rFonts w:hint="default" w:ascii="仿宋" w:hAnsi="仿宋" w:eastAsia="仿宋" w:cs="仿宋"/>
          <w:sz w:val="32"/>
          <w:szCs w:val="32"/>
          <w:lang w:val="en-US" w:eastAsia="zh-CN"/>
        </w:rPr>
        <w:t>5.</w:t>
      </w:r>
      <w:r>
        <w:rPr>
          <w:rFonts w:hint="eastAsia" w:ascii="仿宋_GB2312" w:eastAsia="仿宋_GB2312"/>
          <w:sz w:val="32"/>
          <w:szCs w:val="32"/>
        </w:rPr>
        <w:t>《建设工程质量检测管理办法》(</w:t>
      </w:r>
      <w:r>
        <w:rPr>
          <w:rFonts w:hint="eastAsia" w:ascii="仿宋_GB2312" w:eastAsia="仿宋_GB2312"/>
          <w:sz w:val="32"/>
          <w:szCs w:val="32"/>
          <w:lang w:val="en-US" w:eastAsia="zh-CN"/>
        </w:rPr>
        <w:t>住建部</w:t>
      </w:r>
      <w:r>
        <w:rPr>
          <w:rFonts w:hint="eastAsia" w:ascii="仿宋_GB2312" w:eastAsia="仿宋_GB2312"/>
          <w:sz w:val="32"/>
          <w:szCs w:val="32"/>
        </w:rPr>
        <w:t>令第141号)</w:t>
      </w:r>
      <w:r>
        <w:rPr>
          <w:rFonts w:hint="default" w:ascii="仿宋_GB2312" w:eastAsia="仿宋_GB2312"/>
          <w:sz w:val="32"/>
          <w:szCs w:val="32"/>
          <w:lang w:val="en-US"/>
        </w:rPr>
        <w:t>;</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lang w:eastAsia="zh-CN"/>
        </w:rPr>
      </w:pPr>
      <w:r>
        <w:rPr>
          <w:rFonts w:hint="default" w:ascii="仿宋_GB2312" w:eastAsia="仿宋_GB2312"/>
          <w:sz w:val="32"/>
          <w:szCs w:val="32"/>
          <w:lang w:val="en-US"/>
        </w:rPr>
        <w:t>6.</w:t>
      </w:r>
      <w:r>
        <w:rPr>
          <w:rFonts w:hint="eastAsia" w:ascii="仿宋" w:hAnsi="仿宋" w:eastAsia="仿宋" w:cs="仿宋"/>
          <w:sz w:val="32"/>
          <w:szCs w:val="32"/>
        </w:rPr>
        <w:t>《住房和城乡建设部关于印发&lt;建设工程消防设计审查验收工作细则&gt;和&lt;建设工程消防设计审查、消防验收、备案和抽查文书式样&gt;的通知》（建科规〔2020〕5号）</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7.《广东省住房城乡建设厅关于明确建设工程消防设计审查验收工作有关事项的通知》（粤建质函〔2020〕30号）；</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8.《广东省建设工程质量管理条例》；</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9</w:t>
      </w:r>
      <w:r>
        <w:rPr>
          <w:rFonts w:hint="eastAsia" w:ascii="仿宋" w:hAnsi="仿宋" w:eastAsia="仿宋" w:cs="仿宋"/>
          <w:sz w:val="32"/>
          <w:szCs w:val="32"/>
          <w:lang w:val="en-US" w:eastAsia="zh-CN"/>
        </w:rPr>
        <w:t>.国家工程建设消防技术标准。</w:t>
      </w:r>
    </w:p>
    <w:p>
      <w:pPr>
        <w:keepNext w:val="0"/>
        <w:keepLines w:val="0"/>
        <w:pageBreakBefore w:val="0"/>
        <w:widowControl w:val="0"/>
        <w:kinsoku/>
        <w:wordWrap/>
        <w:overflowPunct/>
        <w:topLinePunct w:val="0"/>
        <w:autoSpaceDE/>
        <w:autoSpaceDN/>
        <w:bidi w:val="0"/>
        <w:spacing w:line="52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四、</w:t>
      </w:r>
      <w:r>
        <w:rPr>
          <w:rFonts w:hint="eastAsia" w:ascii="黑体" w:hAnsi="黑体" w:eastAsia="黑体" w:cs="黑体"/>
          <w:sz w:val="32"/>
          <w:szCs w:val="32"/>
          <w:lang w:val="en-US" w:eastAsia="zh-CN"/>
        </w:rPr>
        <w:t>办理机构</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市住建局和各县（市、区）住建局（办理地点和办理电话详见《江门市住房和城乡建设部门消防业务办理服务窗口地址及电话》）。</w:t>
      </w:r>
    </w:p>
    <w:p>
      <w:pPr>
        <w:keepNext w:val="0"/>
        <w:keepLines w:val="0"/>
        <w:pageBreakBefore w:val="0"/>
        <w:widowControl w:val="0"/>
        <w:kinsoku/>
        <w:wordWrap/>
        <w:overflowPunct/>
        <w:topLinePunct w:val="0"/>
        <w:autoSpaceDE/>
        <w:autoSpaceDN/>
        <w:bidi w:val="0"/>
        <w:spacing w:line="520" w:lineRule="exact"/>
        <w:textAlignment w:val="auto"/>
        <w:rPr>
          <w:rFonts w:hint="eastAsia" w:ascii="仿宋" w:hAnsi="仿宋" w:eastAsia="黑体" w:cs="仿宋"/>
          <w:sz w:val="32"/>
          <w:szCs w:val="32"/>
          <w:lang w:eastAsia="zh-CN"/>
        </w:rPr>
      </w:pPr>
      <w:r>
        <w:rPr>
          <w:rFonts w:hint="eastAsia" w:ascii="黑体" w:hAnsi="黑体" w:eastAsia="黑体" w:cs="黑体"/>
          <w:sz w:val="32"/>
          <w:szCs w:val="32"/>
          <w:lang w:val="en-US" w:eastAsia="zh-CN"/>
        </w:rPr>
        <w:t>五</w:t>
      </w:r>
      <w:r>
        <w:rPr>
          <w:rFonts w:hint="eastAsia" w:ascii="黑体" w:hAnsi="黑体" w:eastAsia="黑体" w:cs="黑体"/>
          <w:sz w:val="32"/>
          <w:szCs w:val="32"/>
          <w:lang w:eastAsia="zh-CN"/>
        </w:rPr>
        <w:t>、</w:t>
      </w:r>
      <w:r>
        <w:rPr>
          <w:rFonts w:hint="eastAsia" w:ascii="黑体" w:hAnsi="黑体" w:eastAsia="黑体" w:cs="黑体"/>
          <w:sz w:val="32"/>
          <w:szCs w:val="32"/>
        </w:rPr>
        <w:t>办理</w:t>
      </w:r>
      <w:r>
        <w:rPr>
          <w:rFonts w:hint="eastAsia" w:ascii="黑体" w:hAnsi="黑体" w:eastAsia="黑体" w:cs="黑体"/>
          <w:sz w:val="32"/>
          <w:szCs w:val="32"/>
          <w:lang w:val="en-US" w:eastAsia="zh-CN"/>
        </w:rPr>
        <w:t>条件</w:t>
      </w:r>
    </w:p>
    <w:p>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消防设计审查适用于</w:t>
      </w:r>
      <w:r>
        <w:rPr>
          <w:rFonts w:hint="eastAsia" w:ascii="仿宋" w:hAnsi="仿宋" w:eastAsia="仿宋" w:cs="仿宋"/>
          <w:sz w:val="32"/>
          <w:szCs w:val="32"/>
          <w:lang w:eastAsia="zh-CN"/>
        </w:rPr>
        <w:t>江门</w:t>
      </w:r>
      <w:r>
        <w:rPr>
          <w:rFonts w:hint="eastAsia" w:ascii="仿宋" w:hAnsi="仿宋" w:eastAsia="仿宋" w:cs="仿宋"/>
          <w:sz w:val="32"/>
          <w:szCs w:val="32"/>
        </w:rPr>
        <w:t>市行政区域内的特殊建设工程办理消防设计审查业务。不适用住宅室内装饰装修、村民自建住宅、救灾和非人员密集场所的临时性建筑的建设活动。</w:t>
      </w:r>
    </w:p>
    <w:p>
      <w:pPr>
        <w:keepNext w:val="0"/>
        <w:keepLines w:val="0"/>
        <w:pageBreakBefore w:val="0"/>
        <w:widowControl w:val="0"/>
        <w:kinsoku/>
        <w:wordWrap/>
        <w:overflowPunct/>
        <w:topLinePunct w:val="0"/>
        <w:autoSpaceDE/>
        <w:autoSpaceDN/>
        <w:bidi w:val="0"/>
        <w:spacing w:line="520" w:lineRule="exact"/>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六</w:t>
      </w:r>
      <w:r>
        <w:rPr>
          <w:rFonts w:hint="eastAsia" w:ascii="黑体" w:hAnsi="黑体" w:eastAsia="黑体" w:cs="黑体"/>
          <w:sz w:val="32"/>
          <w:szCs w:val="32"/>
          <w:lang w:eastAsia="zh-CN"/>
        </w:rPr>
        <w:t>、工作分工</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0"/>
        <w:rPr>
          <w:rFonts w:hint="eastAsia" w:ascii="仿宋" w:hAnsi="仿宋" w:eastAsia="仿宋" w:cs="仿宋"/>
          <w:b w:val="0"/>
          <w:bCs w:val="0"/>
          <w:sz w:val="32"/>
          <w:szCs w:val="32"/>
        </w:rPr>
      </w:pPr>
      <w:r>
        <w:rPr>
          <w:rFonts w:hint="eastAsia" w:ascii="仿宋" w:hAnsi="仿宋" w:eastAsia="仿宋" w:cs="仿宋"/>
          <w:b w:val="0"/>
          <w:bCs w:val="0"/>
          <w:sz w:val="32"/>
          <w:szCs w:val="32"/>
        </w:rPr>
        <w:t>按照</w:t>
      </w:r>
      <w:r>
        <w:rPr>
          <w:rFonts w:hint="eastAsia" w:ascii="仿宋" w:hAnsi="仿宋" w:eastAsia="仿宋" w:cs="仿宋"/>
          <w:sz w:val="32"/>
          <w:szCs w:val="32"/>
        </w:rPr>
        <w:t>住</w:t>
      </w:r>
      <w:r>
        <w:rPr>
          <w:rFonts w:hint="eastAsia" w:ascii="仿宋" w:hAnsi="仿宋" w:eastAsia="仿宋" w:cs="仿宋"/>
          <w:color w:val="auto"/>
          <w:sz w:val="32"/>
          <w:szCs w:val="32"/>
        </w:rPr>
        <w:t>房和城乡建设部《暂行规定》</w:t>
      </w:r>
      <w:r>
        <w:rPr>
          <w:rFonts w:hint="eastAsia" w:ascii="仿宋" w:hAnsi="仿宋" w:eastAsia="仿宋" w:cs="仿宋"/>
          <w:color w:val="auto"/>
          <w:sz w:val="32"/>
          <w:szCs w:val="32"/>
          <w:lang w:val="en-US" w:eastAsia="zh-CN"/>
        </w:rPr>
        <w:t>和</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江门市住房和城乡建设局关于试行调整建设工程消防行政许可及备案审批权限的通知</w:t>
      </w:r>
      <w:r>
        <w:rPr>
          <w:rFonts w:hint="eastAsia" w:ascii="仿宋" w:hAnsi="仿宋" w:eastAsia="仿宋" w:cs="仿宋"/>
          <w:color w:val="auto"/>
          <w:sz w:val="32"/>
          <w:szCs w:val="32"/>
          <w:lang w:eastAsia="zh-CN"/>
        </w:rPr>
        <w:t>》要求，</w:t>
      </w:r>
      <w:r>
        <w:rPr>
          <w:rFonts w:hint="eastAsia" w:ascii="仿宋" w:hAnsi="仿宋" w:eastAsia="仿宋" w:cs="仿宋"/>
          <w:color w:val="auto"/>
          <w:sz w:val="32"/>
          <w:szCs w:val="32"/>
        </w:rPr>
        <w:t>自202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月1日起，全市建设工程消防设计</w:t>
      </w:r>
      <w:r>
        <w:rPr>
          <w:rFonts w:hint="eastAsia" w:ascii="仿宋" w:hAnsi="仿宋" w:eastAsia="仿宋" w:cs="仿宋"/>
          <w:b w:val="0"/>
          <w:bCs w:val="0"/>
          <w:sz w:val="32"/>
          <w:szCs w:val="32"/>
        </w:rPr>
        <w:t>审查验收职责分工如下：</w:t>
      </w:r>
    </w:p>
    <w:p>
      <w:pPr>
        <w:adjustRightInd w:val="0"/>
        <w:snapToGrid w:val="0"/>
        <w:spacing w:before="72" w:beforeLines="30" w:after="72" w:afterLines="30" w:line="560" w:lineRule="exact"/>
        <w:jc w:val="center"/>
        <w:outlineLvl w:val="0"/>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江门市</w:t>
      </w:r>
      <w:r>
        <w:rPr>
          <w:rFonts w:hint="eastAsia" w:ascii="楷体_GB2312" w:hAnsi="楷体_GB2312" w:eastAsia="楷体_GB2312" w:cs="楷体_GB2312"/>
          <w:b w:val="0"/>
          <w:bCs w:val="0"/>
          <w:sz w:val="32"/>
          <w:szCs w:val="32"/>
        </w:rPr>
        <w:t>建设工程消防行政许可及备案分工表</w:t>
      </w:r>
    </w:p>
    <w:tbl>
      <w:tblPr>
        <w:tblStyle w:val="3"/>
        <w:tblW w:w="8165" w:type="dxa"/>
        <w:jc w:val="center"/>
        <w:tblCellSpacing w:w="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Layout w:type="fixed"/>
        <w:tblCellMar>
          <w:top w:w="0" w:type="dxa"/>
          <w:left w:w="0" w:type="dxa"/>
          <w:bottom w:w="0" w:type="dxa"/>
          <w:right w:w="0" w:type="dxa"/>
        </w:tblCellMar>
      </w:tblPr>
      <w:tblGrid>
        <w:gridCol w:w="601"/>
        <w:gridCol w:w="3525"/>
        <w:gridCol w:w="1939"/>
        <w:gridCol w:w="21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Layout w:type="fixed"/>
          <w:tblCellMar>
            <w:top w:w="0" w:type="dxa"/>
            <w:left w:w="0" w:type="dxa"/>
            <w:bottom w:w="0" w:type="dxa"/>
            <w:right w:w="0" w:type="dxa"/>
          </w:tblCellMar>
        </w:tblPrEx>
        <w:trPr>
          <w:cantSplit/>
          <w:trHeight w:val="975" w:hRule="atLeast"/>
          <w:tblHeader/>
          <w:tblCellSpacing w:w="0" w:type="dxa"/>
          <w:jc w:val="center"/>
        </w:trPr>
        <w:tc>
          <w:tcPr>
            <w:tcW w:w="4126" w:type="dxa"/>
            <w:gridSpan w:val="2"/>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b/>
                <w:bCs/>
              </w:rPr>
            </w:pPr>
            <w:r>
              <w:rPr>
                <w:rFonts w:hint="eastAsia" w:ascii="仿宋" w:hAnsi="仿宋" w:eastAsia="仿宋" w:cs="仿宋"/>
              </w:rPr>
              <w:t>特殊建设工程类型</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市级受理</w:t>
            </w:r>
          </w:p>
        </w:tc>
        <w:tc>
          <w:tcPr>
            <w:tcW w:w="2100"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lang w:eastAsia="zh-CN"/>
              </w:rPr>
            </w:pPr>
            <w:r>
              <w:rPr>
                <w:rFonts w:hint="eastAsia" w:ascii="仿宋" w:hAnsi="仿宋" w:eastAsia="仿宋" w:cs="仿宋"/>
                <w:lang w:eastAsia="zh-CN"/>
              </w:rPr>
              <w:t>县（</w:t>
            </w:r>
            <w:r>
              <w:rPr>
                <w:rFonts w:hint="eastAsia" w:ascii="仿宋" w:hAnsi="仿宋" w:eastAsia="仿宋" w:cs="仿宋"/>
              </w:rPr>
              <w:t>区</w:t>
            </w:r>
            <w:r>
              <w:rPr>
                <w:rFonts w:hint="eastAsia" w:ascii="仿宋" w:hAnsi="仿宋" w:eastAsia="仿宋" w:cs="仿宋"/>
                <w:lang w:eastAsia="zh-CN"/>
              </w:rPr>
              <w:t>）</w:t>
            </w:r>
            <w:r>
              <w:rPr>
                <w:rFonts w:hint="eastAsia" w:ascii="仿宋" w:hAnsi="仿宋" w:eastAsia="仿宋" w:cs="仿宋"/>
              </w:rPr>
              <w:t>级受理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671" w:hRule="atLeast"/>
          <w:tblCellSpacing w:w="0" w:type="dxa"/>
          <w:jc w:val="center"/>
        </w:trPr>
        <w:tc>
          <w:tcPr>
            <w:tcW w:w="601"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一</w:t>
            </w:r>
          </w:p>
        </w:tc>
        <w:tc>
          <w:tcPr>
            <w:tcW w:w="3525" w:type="dxa"/>
            <w:shd w:val="clear" w:color="auto" w:fill="FFFFFF"/>
            <w:noWrap w:val="0"/>
            <w:tcMar>
              <w:top w:w="8" w:type="dxa"/>
              <w:left w:w="8" w:type="dxa"/>
              <w:right w:w="8" w:type="dxa"/>
            </w:tcMar>
            <w:vAlign w:val="center"/>
          </w:tcPr>
          <w:p>
            <w:pPr>
              <w:pStyle w:val="2"/>
              <w:widowControl/>
              <w:rPr>
                <w:rFonts w:hint="eastAsia" w:ascii="仿宋" w:hAnsi="仿宋" w:eastAsia="仿宋" w:cs="仿宋"/>
              </w:rPr>
            </w:pPr>
            <w:r>
              <w:rPr>
                <w:rFonts w:hint="eastAsia" w:ascii="仿宋" w:hAnsi="仿宋" w:eastAsia="仿宋" w:cs="仿宋"/>
              </w:rPr>
              <w:t>总建筑面积大于二万平方米的体育场馆、会堂，公共展览馆、博物馆的展示厅</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＞20000</w:t>
            </w:r>
          </w:p>
        </w:tc>
        <w:tc>
          <w:tcPr>
            <w:tcW w:w="2100"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kern w:val="0"/>
                <w:sz w:val="24"/>
                <w:szCs w:val="24"/>
                <w:lang w:val="en-US" w:eastAsia="zh-CN" w:bidi="ar-SA"/>
              </w:rPr>
            </w:pPr>
            <w:r>
              <w:rPr>
                <w:rFonts w:hint="eastAsia" w:ascii="仿宋" w:hAnsi="仿宋" w:eastAsia="仿宋" w:cs="仿宋"/>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460" w:hRule="atLeast"/>
          <w:tblCellSpacing w:w="0" w:type="dxa"/>
          <w:jc w:val="center"/>
        </w:trPr>
        <w:tc>
          <w:tcPr>
            <w:tcW w:w="601"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二</w:t>
            </w:r>
          </w:p>
        </w:tc>
        <w:tc>
          <w:tcPr>
            <w:tcW w:w="3525" w:type="dxa"/>
            <w:shd w:val="clear" w:color="auto" w:fill="FFFFFF"/>
            <w:noWrap w:val="0"/>
            <w:tcMar>
              <w:top w:w="8" w:type="dxa"/>
              <w:left w:w="8" w:type="dxa"/>
              <w:right w:w="8" w:type="dxa"/>
            </w:tcMar>
            <w:vAlign w:val="center"/>
          </w:tcPr>
          <w:p>
            <w:pPr>
              <w:pStyle w:val="2"/>
              <w:widowControl/>
              <w:rPr>
                <w:rFonts w:hint="eastAsia" w:ascii="仿宋" w:hAnsi="仿宋" w:eastAsia="仿宋" w:cs="仿宋"/>
              </w:rPr>
            </w:pPr>
            <w:r>
              <w:rPr>
                <w:rFonts w:hint="eastAsia" w:ascii="仿宋" w:hAnsi="仿宋" w:eastAsia="仿宋" w:cs="仿宋"/>
              </w:rPr>
              <w:t>总建筑面积大于一万五千平方米的民用机场航站楼、客运车站候车室、客运码头候船厅</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＞15000</w:t>
            </w:r>
          </w:p>
        </w:tc>
        <w:tc>
          <w:tcPr>
            <w:tcW w:w="2100"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kern w:val="0"/>
                <w:sz w:val="24"/>
                <w:szCs w:val="24"/>
                <w:lang w:val="en-US" w:eastAsia="zh-CN" w:bidi="ar-SA"/>
              </w:rPr>
            </w:pPr>
            <w:r>
              <w:rPr>
                <w:rFonts w:hint="eastAsia" w:ascii="仿宋" w:hAnsi="仿宋" w:eastAsia="仿宋" w:cs="仿宋"/>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965" w:hRule="atLeast"/>
          <w:tblCellSpacing w:w="0" w:type="dxa"/>
          <w:jc w:val="center"/>
        </w:trPr>
        <w:tc>
          <w:tcPr>
            <w:tcW w:w="601"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三</w:t>
            </w:r>
          </w:p>
        </w:tc>
        <w:tc>
          <w:tcPr>
            <w:tcW w:w="3525" w:type="dxa"/>
            <w:shd w:val="clear" w:color="auto" w:fill="FFFFFF"/>
            <w:noWrap w:val="0"/>
            <w:tcMar>
              <w:top w:w="8" w:type="dxa"/>
              <w:left w:w="8" w:type="dxa"/>
              <w:right w:w="8" w:type="dxa"/>
            </w:tcMar>
            <w:vAlign w:val="center"/>
          </w:tcPr>
          <w:p>
            <w:pPr>
              <w:pStyle w:val="2"/>
              <w:widowControl/>
              <w:rPr>
                <w:rFonts w:hint="eastAsia" w:ascii="仿宋" w:hAnsi="仿宋" w:eastAsia="仿宋" w:cs="仿宋"/>
                <w:lang w:eastAsia="zh-CN"/>
              </w:rPr>
            </w:pPr>
            <w:r>
              <w:rPr>
                <w:rFonts w:hint="eastAsia" w:ascii="仿宋" w:hAnsi="仿宋" w:eastAsia="仿宋" w:cs="仿宋"/>
              </w:rPr>
              <w:t>总建筑面积大于</w:t>
            </w:r>
            <w:r>
              <w:rPr>
                <w:rFonts w:hint="eastAsia" w:ascii="仿宋" w:hAnsi="仿宋" w:eastAsia="仿宋" w:cs="仿宋"/>
                <w:lang w:eastAsia="zh-CN"/>
              </w:rPr>
              <w:t>一</w:t>
            </w:r>
            <w:r>
              <w:rPr>
                <w:rFonts w:hint="eastAsia" w:ascii="仿宋" w:hAnsi="仿宋" w:eastAsia="仿宋" w:cs="仿宋"/>
              </w:rPr>
              <w:t>万平方米的宾馆、饭店、商场</w:t>
            </w:r>
            <w:r>
              <w:rPr>
                <w:rFonts w:hint="eastAsia" w:ascii="仿宋" w:hAnsi="仿宋" w:eastAsia="仿宋" w:cs="仿宋"/>
                <w:lang w:eastAsia="zh-CN"/>
              </w:rPr>
              <w:t>、市场</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4</w:t>
            </w:r>
            <w:r>
              <w:rPr>
                <w:rFonts w:hint="eastAsia" w:ascii="仿宋" w:hAnsi="仿宋" w:eastAsia="仿宋" w:cs="仿宋"/>
              </w:rPr>
              <w:t>0000</w:t>
            </w:r>
          </w:p>
        </w:tc>
        <w:tc>
          <w:tcPr>
            <w:tcW w:w="2100"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kern w:val="0"/>
                <w:sz w:val="24"/>
                <w:szCs w:val="24"/>
                <w:lang w:val="en-US" w:eastAsia="zh-CN" w:bidi="ar-SA"/>
              </w:rPr>
            </w:pPr>
            <w:r>
              <w:rPr>
                <w:rFonts w:hint="eastAsia" w:ascii="仿宋" w:hAnsi="仿宋" w:eastAsia="仿宋" w:cs="仿宋"/>
              </w:rPr>
              <w:t>10000-</w:t>
            </w:r>
            <w:r>
              <w:rPr>
                <w:rFonts w:hint="eastAsia" w:ascii="仿宋" w:hAnsi="仿宋" w:eastAsia="仿宋" w:cs="仿宋"/>
                <w:lang w:val="en-US" w:eastAsia="zh-CN"/>
              </w:rPr>
              <w:t>4</w:t>
            </w:r>
            <w:r>
              <w:rPr>
                <w:rFonts w:hint="eastAsia" w:ascii="仿宋" w:hAnsi="仿宋" w:eastAsia="仿宋" w:cs="仿宋"/>
              </w:rPr>
              <w:t>0000（</w:t>
            </w:r>
            <w:r>
              <w:rPr>
                <w:rFonts w:hint="eastAsia" w:ascii="仿宋" w:hAnsi="仿宋" w:eastAsia="仿宋" w:cs="仿宋"/>
                <w:lang w:eastAsia="zh-CN"/>
              </w:rPr>
              <w:t>不含</w:t>
            </w:r>
            <w:r>
              <w:rPr>
                <w:rFonts w:hint="eastAsia" w:ascii="仿宋" w:hAnsi="仿宋" w:eastAsia="仿宋" w:cs="仿宋"/>
                <w:lang w:val="en-US" w:eastAsia="zh-CN"/>
              </w:rPr>
              <w:t>10000，</w:t>
            </w:r>
            <w:r>
              <w:rPr>
                <w:rFonts w:hint="eastAsia" w:ascii="仿宋" w:hAnsi="仿宋" w:eastAsia="仿宋" w:cs="仿宋"/>
              </w:rPr>
              <w:t>含</w:t>
            </w:r>
            <w:r>
              <w:rPr>
                <w:rFonts w:hint="eastAsia" w:ascii="仿宋" w:hAnsi="仿宋" w:eastAsia="仿宋" w:cs="仿宋"/>
                <w:lang w:val="en-US" w:eastAsia="zh-CN"/>
              </w:rPr>
              <w:t>4</w:t>
            </w:r>
            <w:r>
              <w:rPr>
                <w:rFonts w:hint="eastAsia" w:ascii="仿宋" w:hAnsi="仿宋" w:eastAsia="仿宋" w:cs="仿宋"/>
              </w:rPr>
              <w:t>0000）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700" w:hRule="atLeast"/>
          <w:tblCellSpacing w:w="0" w:type="dxa"/>
          <w:jc w:val="center"/>
        </w:trPr>
        <w:tc>
          <w:tcPr>
            <w:tcW w:w="601"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四</w:t>
            </w:r>
          </w:p>
        </w:tc>
        <w:tc>
          <w:tcPr>
            <w:tcW w:w="3525" w:type="dxa"/>
            <w:shd w:val="clear" w:color="auto" w:fill="FFFFFF"/>
            <w:noWrap w:val="0"/>
            <w:tcMar>
              <w:top w:w="8" w:type="dxa"/>
              <w:left w:w="8" w:type="dxa"/>
              <w:right w:w="8" w:type="dxa"/>
            </w:tcMar>
            <w:vAlign w:val="center"/>
          </w:tcPr>
          <w:p>
            <w:pPr>
              <w:pStyle w:val="2"/>
              <w:widowControl/>
              <w:rPr>
                <w:rFonts w:hint="eastAsia" w:ascii="仿宋" w:hAnsi="仿宋" w:eastAsia="仿宋" w:cs="仿宋"/>
              </w:rPr>
            </w:pPr>
            <w:r>
              <w:rPr>
                <w:rFonts w:hint="eastAsia" w:ascii="仿宋" w:hAnsi="仿宋" w:eastAsia="仿宋" w:cs="仿宋"/>
              </w:rPr>
              <w:t>总建筑面积大于二千五百平方米的影剧院，公共图书馆的阅览室，营业性室内健身、休闲场馆，医院的门诊楼，大学的教学楼、图书馆、食堂，劳动密集型企业的生产加工车间</w:t>
            </w:r>
            <w:r>
              <w:rPr>
                <w:rFonts w:hint="eastAsia" w:ascii="仿宋" w:hAnsi="仿宋" w:eastAsia="仿宋" w:cs="仿宋"/>
                <w:lang w:eastAsia="zh-CN"/>
              </w:rPr>
              <w:t>、</w:t>
            </w:r>
            <w:r>
              <w:rPr>
                <w:rFonts w:hint="eastAsia" w:ascii="仿宋" w:hAnsi="仿宋" w:eastAsia="仿宋" w:cs="仿宋"/>
              </w:rPr>
              <w:t>寺庙、教堂</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5</w:t>
            </w:r>
            <w:r>
              <w:rPr>
                <w:rFonts w:hint="eastAsia" w:ascii="仿宋" w:hAnsi="仿宋" w:eastAsia="仿宋" w:cs="仿宋"/>
              </w:rPr>
              <w:t>000</w:t>
            </w:r>
          </w:p>
        </w:tc>
        <w:tc>
          <w:tcPr>
            <w:tcW w:w="2100"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kern w:val="0"/>
                <w:sz w:val="24"/>
                <w:szCs w:val="24"/>
                <w:lang w:val="en-US" w:eastAsia="zh-CN" w:bidi="ar-SA"/>
              </w:rPr>
            </w:pPr>
            <w:r>
              <w:rPr>
                <w:rFonts w:hint="eastAsia" w:ascii="仿宋" w:hAnsi="仿宋" w:eastAsia="仿宋" w:cs="仿宋"/>
              </w:rPr>
              <w:t>2500-</w:t>
            </w:r>
            <w:r>
              <w:rPr>
                <w:rFonts w:hint="eastAsia" w:ascii="仿宋" w:hAnsi="仿宋" w:eastAsia="仿宋" w:cs="仿宋"/>
                <w:lang w:val="en-US" w:eastAsia="zh-CN"/>
              </w:rPr>
              <w:t>5000</w:t>
            </w:r>
            <w:r>
              <w:rPr>
                <w:rFonts w:hint="eastAsia" w:ascii="仿宋" w:hAnsi="仿宋" w:eastAsia="仿宋" w:cs="仿宋"/>
              </w:rPr>
              <w:t>（</w:t>
            </w:r>
            <w:r>
              <w:rPr>
                <w:rFonts w:hint="eastAsia" w:ascii="仿宋" w:hAnsi="仿宋" w:eastAsia="仿宋" w:cs="仿宋"/>
                <w:lang w:eastAsia="zh-CN"/>
              </w:rPr>
              <w:t>不含</w:t>
            </w:r>
            <w:r>
              <w:rPr>
                <w:rFonts w:hint="eastAsia" w:ascii="仿宋" w:hAnsi="仿宋" w:eastAsia="仿宋" w:cs="仿宋"/>
                <w:lang w:val="en-US" w:eastAsia="zh-CN"/>
              </w:rPr>
              <w:t>2500，</w:t>
            </w:r>
            <w:r>
              <w:rPr>
                <w:rFonts w:hint="eastAsia" w:ascii="仿宋" w:hAnsi="仿宋" w:eastAsia="仿宋" w:cs="仿宋"/>
              </w:rPr>
              <w:t>含</w:t>
            </w:r>
            <w:r>
              <w:rPr>
                <w:rFonts w:hint="eastAsia" w:ascii="仿宋" w:hAnsi="仿宋" w:eastAsia="仿宋" w:cs="仿宋"/>
                <w:lang w:val="en-US" w:eastAsia="zh-CN"/>
              </w:rPr>
              <w:t>5</w:t>
            </w:r>
            <w:r>
              <w:rPr>
                <w:rFonts w:hint="eastAsia" w:ascii="仿宋" w:hAnsi="仿宋" w:eastAsia="仿宋" w:cs="仿宋"/>
              </w:rPr>
              <w:t>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680" w:hRule="atLeast"/>
          <w:tblCellSpacing w:w="0" w:type="dxa"/>
          <w:jc w:val="center"/>
        </w:trPr>
        <w:tc>
          <w:tcPr>
            <w:tcW w:w="601"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五</w:t>
            </w:r>
          </w:p>
        </w:tc>
        <w:tc>
          <w:tcPr>
            <w:tcW w:w="3525" w:type="dxa"/>
            <w:shd w:val="clear" w:color="auto" w:fill="FFFFFF"/>
            <w:noWrap w:val="0"/>
            <w:tcMar>
              <w:top w:w="8" w:type="dxa"/>
              <w:left w:w="8" w:type="dxa"/>
              <w:right w:w="8" w:type="dxa"/>
            </w:tcMar>
            <w:vAlign w:val="center"/>
          </w:tcPr>
          <w:p>
            <w:pPr>
              <w:pStyle w:val="2"/>
              <w:widowControl/>
              <w:rPr>
                <w:rFonts w:hint="eastAsia" w:ascii="仿宋" w:hAnsi="仿宋" w:eastAsia="仿宋" w:cs="仿宋"/>
                <w:kern w:val="0"/>
                <w:sz w:val="24"/>
                <w:szCs w:val="24"/>
                <w:lang w:val="en-US" w:eastAsia="zh-CN" w:bidi="ar-SA"/>
              </w:rPr>
            </w:pPr>
            <w:r>
              <w:rPr>
                <w:rFonts w:hint="eastAsia" w:ascii="仿宋" w:hAnsi="仿宋" w:eastAsia="仿宋" w:cs="仿宋"/>
              </w:rPr>
              <w:t>总建筑面积大于一千平方米的托儿所、幼儿园的儿童用房，儿童游乐厅等室内儿童活动场所，养老院、福利院，医院、疗养院的病房楼，中小学校的教学楼、图书馆、食堂，学校的集体宿舍，劳动密集型企业的员工集体宿舍</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kern w:val="0"/>
                <w:sz w:val="24"/>
                <w:szCs w:val="24"/>
                <w:lang w:val="en-US" w:eastAsia="zh-CN" w:bidi="ar-SA"/>
              </w:rPr>
            </w:pPr>
            <w:r>
              <w:rPr>
                <w:rFonts w:hint="eastAsia" w:ascii="仿宋" w:hAnsi="仿宋" w:eastAsia="仿宋" w:cs="仿宋"/>
                <w:lang w:val="en-US" w:eastAsia="zh-CN"/>
              </w:rPr>
              <w:t>无</w:t>
            </w:r>
          </w:p>
        </w:tc>
        <w:tc>
          <w:tcPr>
            <w:tcW w:w="2100"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kern w:val="0"/>
                <w:sz w:val="24"/>
                <w:szCs w:val="24"/>
                <w:lang w:val="en-US" w:eastAsia="zh-CN" w:bidi="ar-SA"/>
              </w:rPr>
            </w:pPr>
            <w:r>
              <w:rPr>
                <w:rFonts w:hint="eastAsia" w:ascii="仿宋" w:hAnsi="仿宋" w:eastAsia="仿宋" w:cs="仿宋"/>
              </w:rPr>
              <w:t>＞</w:t>
            </w:r>
            <w:r>
              <w:rPr>
                <w:rFonts w:hint="eastAsia" w:ascii="仿宋" w:hAnsi="仿宋" w:eastAsia="仿宋" w:cs="仿宋"/>
                <w:lang w:val="en-US" w:eastAsia="zh-CN"/>
              </w:rPr>
              <w:t>100</w:t>
            </w:r>
            <w:r>
              <w:rPr>
                <w:rFonts w:hint="eastAsia" w:ascii="仿宋" w:hAnsi="仿宋" w:eastAsia="仿宋" w:cs="仿宋"/>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362" w:hRule="atLeast"/>
          <w:tblCellSpacing w:w="0" w:type="dxa"/>
          <w:jc w:val="center"/>
        </w:trPr>
        <w:tc>
          <w:tcPr>
            <w:tcW w:w="601"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六</w:t>
            </w:r>
          </w:p>
        </w:tc>
        <w:tc>
          <w:tcPr>
            <w:tcW w:w="3525" w:type="dxa"/>
            <w:shd w:val="clear" w:color="auto" w:fill="FFFFFF"/>
            <w:noWrap w:val="0"/>
            <w:tcMar>
              <w:top w:w="8" w:type="dxa"/>
              <w:left w:w="8" w:type="dxa"/>
              <w:right w:w="8" w:type="dxa"/>
            </w:tcMar>
            <w:vAlign w:val="center"/>
          </w:tcPr>
          <w:p>
            <w:pPr>
              <w:pStyle w:val="2"/>
              <w:widowControl/>
              <w:rPr>
                <w:rFonts w:hint="eastAsia" w:ascii="仿宋" w:hAnsi="仿宋" w:eastAsia="仿宋" w:cs="仿宋"/>
              </w:rPr>
            </w:pPr>
            <w:r>
              <w:rPr>
                <w:rFonts w:hint="eastAsia" w:ascii="仿宋" w:hAnsi="仿宋" w:eastAsia="仿宋" w:cs="仿宋"/>
              </w:rPr>
              <w:t>总建筑面积大于五百平方米的歌舞厅、录像厅、放映厅、卡拉ＯＫ厅、夜总会、游艺厅、桑拿浴室、网吧、酒吧，具有娱乐功能的餐馆、茶馆、咖啡厅</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lang w:val="en-US" w:eastAsia="zh-CN"/>
              </w:rPr>
              <w:t>无</w:t>
            </w:r>
          </w:p>
        </w:tc>
        <w:tc>
          <w:tcPr>
            <w:tcW w:w="2100"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kern w:val="0"/>
                <w:sz w:val="24"/>
                <w:szCs w:val="24"/>
                <w:lang w:val="en-US" w:eastAsia="zh-CN" w:bidi="ar-SA"/>
              </w:rPr>
            </w:pPr>
            <w:r>
              <w:rPr>
                <w:rFonts w:hint="eastAsia" w:ascii="仿宋" w:hAnsi="仿宋" w:eastAsia="仿宋" w:cs="仿宋"/>
              </w:rPr>
              <w:t>＞</w:t>
            </w:r>
            <w:r>
              <w:rPr>
                <w:rFonts w:hint="eastAsia" w:ascii="仿宋" w:hAnsi="仿宋" w:eastAsia="仿宋" w:cs="仿宋"/>
                <w:lang w:val="en-US" w:eastAsia="zh-CN"/>
              </w:rPr>
              <w:t>50</w:t>
            </w:r>
            <w:r>
              <w:rPr>
                <w:rFonts w:hint="eastAsia" w:ascii="仿宋" w:hAnsi="仿宋" w:eastAsia="仿宋" w:cs="仿宋"/>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057" w:hRule="atLeast"/>
          <w:tblCellSpacing w:w="0" w:type="dxa"/>
          <w:jc w:val="center"/>
        </w:trPr>
        <w:tc>
          <w:tcPr>
            <w:tcW w:w="601"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七</w:t>
            </w:r>
          </w:p>
        </w:tc>
        <w:tc>
          <w:tcPr>
            <w:tcW w:w="3525" w:type="dxa"/>
            <w:shd w:val="clear" w:color="auto" w:fill="FFFFFF"/>
            <w:noWrap w:val="0"/>
            <w:tcMar>
              <w:top w:w="8" w:type="dxa"/>
              <w:left w:w="8" w:type="dxa"/>
              <w:right w:w="8" w:type="dxa"/>
            </w:tcMar>
            <w:vAlign w:val="center"/>
          </w:tcPr>
          <w:p>
            <w:pPr>
              <w:pStyle w:val="2"/>
              <w:widowControl/>
              <w:rPr>
                <w:rFonts w:hint="eastAsia" w:ascii="仿宋" w:hAnsi="仿宋" w:eastAsia="仿宋" w:cs="仿宋"/>
              </w:rPr>
            </w:pPr>
            <w:r>
              <w:rPr>
                <w:rFonts w:hint="eastAsia" w:ascii="仿宋" w:hAnsi="仿宋" w:eastAsia="仿宋" w:cs="仿宋"/>
              </w:rPr>
              <w:t>国家工程建设消防技术标准规定的一类高层住宅建筑</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建筑高度＞</w:t>
            </w:r>
            <w:r>
              <w:rPr>
                <w:rFonts w:hint="eastAsia" w:ascii="仿宋" w:hAnsi="仿宋" w:eastAsia="仿宋" w:cs="仿宋"/>
                <w:lang w:val="en-US" w:eastAsia="zh-CN"/>
              </w:rPr>
              <w:t>100</w:t>
            </w:r>
            <w:r>
              <w:rPr>
                <w:rFonts w:hint="eastAsia" w:ascii="仿宋" w:hAnsi="仿宋" w:eastAsia="仿宋" w:cs="仿宋"/>
              </w:rPr>
              <w:t>米</w:t>
            </w:r>
          </w:p>
        </w:tc>
        <w:tc>
          <w:tcPr>
            <w:tcW w:w="2100" w:type="dxa"/>
            <w:shd w:val="clear" w:color="auto" w:fill="FFFFFF"/>
            <w:noWrap w:val="0"/>
            <w:tcMar>
              <w:top w:w="8" w:type="dxa"/>
              <w:left w:w="8" w:type="dxa"/>
              <w:right w:w="8" w:type="dxa"/>
            </w:tcMar>
            <w:vAlign w:val="center"/>
          </w:tcPr>
          <w:p>
            <w:pPr>
              <w:pStyle w:val="2"/>
              <w:widowControl/>
              <w:jc w:val="center"/>
              <w:rPr>
                <w:rFonts w:hint="default" w:ascii="仿宋" w:hAnsi="仿宋" w:eastAsia="仿宋" w:cs="仿宋"/>
                <w:kern w:val="0"/>
                <w:sz w:val="24"/>
                <w:szCs w:val="24"/>
                <w:lang w:val="en-US" w:eastAsia="zh-CN" w:bidi="ar-SA"/>
              </w:rPr>
            </w:pPr>
            <w:r>
              <w:rPr>
                <w:rFonts w:hint="eastAsia" w:ascii="仿宋" w:hAnsi="仿宋" w:eastAsia="仿宋" w:cs="仿宋"/>
                <w:lang w:val="en-US" w:eastAsia="zh-CN"/>
              </w:rPr>
              <w:t>建筑高度54</w:t>
            </w:r>
            <w:r>
              <w:rPr>
                <w:rFonts w:hint="eastAsia" w:ascii="仿宋" w:hAnsi="仿宋" w:eastAsia="仿宋" w:cs="仿宋"/>
              </w:rPr>
              <w:t>-</w:t>
            </w:r>
            <w:r>
              <w:rPr>
                <w:rFonts w:hint="eastAsia" w:ascii="仿宋" w:hAnsi="仿宋" w:eastAsia="仿宋" w:cs="仿宋"/>
                <w:lang w:val="en-US" w:eastAsia="zh-CN"/>
              </w:rPr>
              <w:t>10</w:t>
            </w:r>
            <w:r>
              <w:rPr>
                <w:rFonts w:hint="eastAsia" w:ascii="仿宋" w:hAnsi="仿宋" w:eastAsia="仿宋" w:cs="仿宋"/>
              </w:rPr>
              <w:t>0</w:t>
            </w:r>
            <w:r>
              <w:rPr>
                <w:rFonts w:hint="eastAsia" w:ascii="仿宋" w:hAnsi="仿宋" w:eastAsia="仿宋" w:cs="仿宋"/>
                <w:lang w:eastAsia="zh-CN"/>
              </w:rPr>
              <w:t>米</w:t>
            </w:r>
            <w:r>
              <w:rPr>
                <w:rFonts w:hint="eastAsia" w:ascii="仿宋" w:hAnsi="仿宋" w:eastAsia="仿宋" w:cs="仿宋"/>
              </w:rPr>
              <w:t>（含</w:t>
            </w:r>
            <w:r>
              <w:rPr>
                <w:rFonts w:hint="eastAsia" w:ascii="仿宋" w:hAnsi="仿宋" w:eastAsia="仿宋" w:cs="仿宋"/>
                <w:lang w:val="en-US" w:eastAsia="zh-CN"/>
              </w:rPr>
              <w:t>10</w:t>
            </w:r>
            <w:r>
              <w:rPr>
                <w:rFonts w:hint="eastAsia" w:ascii="仿宋" w:hAnsi="仿宋" w:eastAsia="仿宋" w:cs="仿宋"/>
              </w:rPr>
              <w:t>0</w:t>
            </w:r>
            <w:r>
              <w:rPr>
                <w:rFonts w:hint="eastAsia" w:ascii="仿宋" w:hAnsi="仿宋" w:eastAsia="仿宋" w:cs="仿宋"/>
                <w:lang w:eastAsia="zh-CN"/>
              </w:rPr>
              <w:t>米</w:t>
            </w:r>
            <w:r>
              <w:rPr>
                <w:rFonts w:hint="eastAsia" w:ascii="仿宋" w:hAnsi="仿宋" w:eastAsia="仿宋" w:cs="仿宋"/>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020" w:hRule="atLeast"/>
          <w:tblCellSpacing w:w="0" w:type="dxa"/>
          <w:jc w:val="center"/>
        </w:trPr>
        <w:tc>
          <w:tcPr>
            <w:tcW w:w="601"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八</w:t>
            </w:r>
          </w:p>
        </w:tc>
        <w:tc>
          <w:tcPr>
            <w:tcW w:w="3525" w:type="dxa"/>
            <w:shd w:val="clear" w:color="auto" w:fill="FFFFFF"/>
            <w:noWrap w:val="0"/>
            <w:tcMar>
              <w:top w:w="8" w:type="dxa"/>
              <w:left w:w="8" w:type="dxa"/>
              <w:right w:w="8" w:type="dxa"/>
            </w:tcMar>
            <w:vAlign w:val="center"/>
          </w:tcPr>
          <w:p>
            <w:pPr>
              <w:pStyle w:val="2"/>
              <w:widowControl/>
              <w:rPr>
                <w:rFonts w:hint="eastAsia" w:ascii="仿宋" w:hAnsi="仿宋" w:eastAsia="仿宋" w:cs="仿宋"/>
              </w:rPr>
            </w:pPr>
            <w:r>
              <w:rPr>
                <w:rFonts w:hint="eastAsia" w:ascii="仿宋" w:hAnsi="仿宋" w:eastAsia="仿宋" w:cs="仿宋"/>
              </w:rPr>
              <w:t>城市轨道交通、隧道工程，大型发电、变配电工程</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市级受理</w:t>
            </w:r>
          </w:p>
        </w:tc>
        <w:tc>
          <w:tcPr>
            <w:tcW w:w="2100"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kern w:val="0"/>
                <w:sz w:val="24"/>
                <w:szCs w:val="24"/>
                <w:lang w:val="en-US" w:eastAsia="zh-CN" w:bidi="ar-SA"/>
              </w:rPr>
            </w:pPr>
            <w:r>
              <w:rPr>
                <w:rFonts w:hint="eastAsia" w:ascii="仿宋" w:hAnsi="仿宋" w:eastAsia="仿宋" w:cs="仿宋"/>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542" w:hRule="atLeast"/>
          <w:tblCellSpacing w:w="0" w:type="dxa"/>
          <w:jc w:val="center"/>
        </w:trPr>
        <w:tc>
          <w:tcPr>
            <w:tcW w:w="601"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lang w:eastAsia="zh-CN"/>
              </w:rPr>
            </w:pPr>
            <w:r>
              <w:rPr>
                <w:rFonts w:hint="eastAsia" w:ascii="仿宋" w:hAnsi="仿宋" w:eastAsia="仿宋" w:cs="仿宋"/>
                <w:lang w:eastAsia="zh-CN"/>
              </w:rPr>
              <w:t>九</w:t>
            </w:r>
          </w:p>
        </w:tc>
        <w:tc>
          <w:tcPr>
            <w:tcW w:w="3525" w:type="dxa"/>
            <w:shd w:val="clear" w:color="auto" w:fill="FFFFFF"/>
            <w:noWrap w:val="0"/>
            <w:tcMar>
              <w:top w:w="8" w:type="dxa"/>
              <w:left w:w="8" w:type="dxa"/>
              <w:right w:w="8" w:type="dxa"/>
            </w:tcMar>
            <w:vAlign w:val="center"/>
          </w:tcPr>
          <w:p>
            <w:pPr>
              <w:pStyle w:val="2"/>
              <w:widowControl/>
              <w:rPr>
                <w:rFonts w:hint="eastAsia" w:ascii="仿宋" w:hAnsi="仿宋" w:eastAsia="仿宋" w:cs="仿宋"/>
              </w:rPr>
            </w:pPr>
            <w:r>
              <w:rPr>
                <w:rFonts w:hint="eastAsia" w:ascii="仿宋" w:hAnsi="仿宋" w:eastAsia="仿宋" w:cs="仿宋"/>
              </w:rPr>
              <w:t>生产、储存、装卸易燃易爆危险物品的工厂、仓库和专用车站、码头，易燃易爆气体和液体的充装站、供应站、调压站</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无</w:t>
            </w:r>
          </w:p>
        </w:tc>
        <w:tc>
          <w:tcPr>
            <w:tcW w:w="2100"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lang w:eastAsia="zh-CN"/>
              </w:rPr>
            </w:pPr>
            <w:r>
              <w:rPr>
                <w:rFonts w:hint="eastAsia" w:ascii="仿宋" w:hAnsi="仿宋" w:eastAsia="仿宋" w:cs="仿宋"/>
                <w:lang w:eastAsia="zh-CN"/>
              </w:rPr>
              <w:t>县（区）受理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020" w:hRule="atLeast"/>
          <w:tblCellSpacing w:w="0" w:type="dxa"/>
          <w:jc w:val="center"/>
        </w:trPr>
        <w:tc>
          <w:tcPr>
            <w:tcW w:w="601"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十</w:t>
            </w:r>
          </w:p>
        </w:tc>
        <w:tc>
          <w:tcPr>
            <w:tcW w:w="3525" w:type="dxa"/>
            <w:shd w:val="clear" w:color="auto" w:fill="FFFFFF"/>
            <w:noWrap w:val="0"/>
            <w:tcMar>
              <w:top w:w="8" w:type="dxa"/>
              <w:left w:w="8" w:type="dxa"/>
              <w:right w:w="8" w:type="dxa"/>
            </w:tcMar>
            <w:vAlign w:val="center"/>
          </w:tcPr>
          <w:p>
            <w:pPr>
              <w:pStyle w:val="2"/>
              <w:widowControl/>
              <w:rPr>
                <w:rFonts w:hint="eastAsia" w:ascii="仿宋" w:hAnsi="仿宋" w:eastAsia="仿宋" w:cs="仿宋"/>
              </w:rPr>
            </w:pPr>
            <w:r>
              <w:rPr>
                <w:rFonts w:hint="eastAsia" w:ascii="仿宋" w:hAnsi="仿宋" w:eastAsia="仿宋" w:cs="仿宋"/>
              </w:rPr>
              <w:t>国家机关办公楼、电力调度楼、电信楼、邮政楼、防灾指挥调度楼、广播电视楼、档案楼</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lang w:eastAsia="zh-CN"/>
              </w:rPr>
            </w:pPr>
            <w:r>
              <w:rPr>
                <w:rFonts w:hint="eastAsia" w:ascii="仿宋" w:hAnsi="仿宋" w:eastAsia="仿宋" w:cs="仿宋"/>
                <w:lang w:eastAsia="zh-CN"/>
              </w:rPr>
              <w:t>地市级以上</w:t>
            </w:r>
          </w:p>
        </w:tc>
        <w:tc>
          <w:tcPr>
            <w:tcW w:w="2100"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kern w:val="0"/>
                <w:sz w:val="24"/>
                <w:szCs w:val="24"/>
                <w:lang w:val="en-US" w:eastAsia="zh-CN" w:bidi="ar-SA"/>
              </w:rPr>
            </w:pPr>
            <w:r>
              <w:rPr>
                <w:rFonts w:hint="eastAsia" w:ascii="Arial" w:hAnsi="Arial" w:eastAsia="仿宋" w:cs="Arial"/>
                <w:lang w:val="en-US" w:eastAsia="zh-CN"/>
              </w:rPr>
              <w:t>其他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020" w:hRule="atLeast"/>
          <w:tblCellSpacing w:w="0" w:type="dxa"/>
          <w:jc w:val="center"/>
        </w:trPr>
        <w:tc>
          <w:tcPr>
            <w:tcW w:w="601"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十一</w:t>
            </w:r>
          </w:p>
        </w:tc>
        <w:tc>
          <w:tcPr>
            <w:tcW w:w="3525" w:type="dxa"/>
            <w:shd w:val="clear" w:color="auto" w:fill="FFFFFF"/>
            <w:noWrap w:val="0"/>
            <w:tcMar>
              <w:top w:w="8" w:type="dxa"/>
              <w:left w:w="8" w:type="dxa"/>
              <w:right w:w="8" w:type="dxa"/>
            </w:tcMar>
            <w:vAlign w:val="center"/>
          </w:tcPr>
          <w:p>
            <w:pPr>
              <w:pStyle w:val="2"/>
              <w:widowControl/>
              <w:rPr>
                <w:rFonts w:hint="eastAsia" w:ascii="仿宋" w:hAnsi="仿宋" w:eastAsia="仿宋" w:cs="仿宋"/>
              </w:rPr>
            </w:pPr>
            <w:r>
              <w:rPr>
                <w:rFonts w:hint="eastAsia" w:ascii="仿宋" w:hAnsi="仿宋" w:eastAsia="仿宋" w:cs="仿宋"/>
              </w:rPr>
              <w:t>设有本条第一项至第六项所列情形的建设工程</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按规模分工受理</w:t>
            </w:r>
          </w:p>
        </w:tc>
        <w:tc>
          <w:tcPr>
            <w:tcW w:w="2100"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kern w:val="0"/>
                <w:sz w:val="24"/>
                <w:szCs w:val="24"/>
                <w:lang w:val="en-US" w:eastAsia="zh-CN" w:bidi="ar-SA"/>
              </w:rPr>
            </w:pPr>
            <w:r>
              <w:rPr>
                <w:rFonts w:hint="eastAsia" w:ascii="仿宋" w:hAnsi="仿宋" w:eastAsia="仿宋" w:cs="仿宋"/>
              </w:rPr>
              <w:t>按规模分工受理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020" w:hRule="atLeast"/>
          <w:tblCellSpacing w:w="0" w:type="dxa"/>
          <w:jc w:val="center"/>
        </w:trPr>
        <w:tc>
          <w:tcPr>
            <w:tcW w:w="601"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十二</w:t>
            </w:r>
          </w:p>
        </w:tc>
        <w:tc>
          <w:tcPr>
            <w:tcW w:w="3525" w:type="dxa"/>
            <w:shd w:val="clear" w:color="auto" w:fill="FFFFFF"/>
            <w:noWrap w:val="0"/>
            <w:tcMar>
              <w:top w:w="8" w:type="dxa"/>
              <w:left w:w="8" w:type="dxa"/>
              <w:right w:w="8" w:type="dxa"/>
            </w:tcMar>
            <w:vAlign w:val="center"/>
          </w:tcPr>
          <w:p>
            <w:pPr>
              <w:pStyle w:val="2"/>
              <w:widowControl/>
              <w:rPr>
                <w:rFonts w:hint="eastAsia" w:ascii="仿宋" w:hAnsi="仿宋" w:eastAsia="仿宋" w:cs="仿宋"/>
              </w:rPr>
            </w:pPr>
            <w:r>
              <w:rPr>
                <w:rFonts w:hint="eastAsia" w:ascii="仿宋" w:hAnsi="仿宋" w:eastAsia="仿宋" w:cs="仿宋"/>
              </w:rPr>
              <w:t>本条第十项、第十一项规定以外的单体建筑面积大于四万平方米或者建筑高度超过五十米的公共建筑</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市级受理</w:t>
            </w:r>
          </w:p>
        </w:tc>
        <w:tc>
          <w:tcPr>
            <w:tcW w:w="2100"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cantSplit/>
          <w:trHeight w:val="1615" w:hRule="atLeast"/>
          <w:tblCellSpacing w:w="0" w:type="dxa"/>
          <w:jc w:val="center"/>
        </w:trPr>
        <w:tc>
          <w:tcPr>
            <w:tcW w:w="601"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lang w:eastAsia="zh-CN"/>
              </w:rPr>
            </w:pPr>
            <w:r>
              <w:rPr>
                <w:rFonts w:hint="eastAsia" w:ascii="仿宋" w:hAnsi="仿宋" w:eastAsia="仿宋" w:cs="仿宋"/>
                <w:lang w:eastAsia="zh-CN"/>
              </w:rPr>
              <w:t>十三</w:t>
            </w:r>
          </w:p>
        </w:tc>
        <w:tc>
          <w:tcPr>
            <w:tcW w:w="3525" w:type="dxa"/>
            <w:shd w:val="clear" w:color="auto" w:fill="FFFFFF"/>
            <w:noWrap w:val="0"/>
            <w:tcMar>
              <w:top w:w="8" w:type="dxa"/>
              <w:left w:w="8" w:type="dxa"/>
              <w:right w:w="8" w:type="dxa"/>
            </w:tcMar>
            <w:vAlign w:val="center"/>
          </w:tcPr>
          <w:p>
            <w:pPr>
              <w:pStyle w:val="2"/>
              <w:widowControl/>
              <w:rPr>
                <w:rFonts w:hint="eastAsia" w:ascii="仿宋" w:hAnsi="仿宋" w:eastAsia="仿宋" w:cs="仿宋"/>
                <w:lang w:eastAsia="zh-CN"/>
              </w:rPr>
            </w:pPr>
            <w:r>
              <w:rPr>
                <w:rFonts w:hint="eastAsia" w:ascii="仿宋" w:hAnsi="仿宋" w:eastAsia="仿宋" w:cs="仿宋"/>
                <w:lang w:eastAsia="zh-CN"/>
              </w:rPr>
              <w:t>市本级财政投资项目或</w:t>
            </w:r>
            <w:r>
              <w:rPr>
                <w:rFonts w:hint="eastAsia" w:ascii="仿宋" w:hAnsi="仿宋" w:eastAsia="仿宋" w:cs="仿宋"/>
              </w:rPr>
              <w:t>建设工程在</w:t>
            </w:r>
            <w:r>
              <w:rPr>
                <w:rFonts w:hint="eastAsia" w:ascii="仿宋" w:hAnsi="仿宋" w:eastAsia="仿宋" w:cs="仿宋"/>
                <w:lang w:eastAsia="zh-CN"/>
              </w:rPr>
              <w:t>江门</w:t>
            </w:r>
            <w:r>
              <w:rPr>
                <w:rFonts w:hint="eastAsia" w:ascii="仿宋" w:hAnsi="仿宋" w:eastAsia="仿宋" w:cs="仿宋"/>
              </w:rPr>
              <w:t>市住房和城乡建设</w:t>
            </w:r>
            <w:r>
              <w:rPr>
                <w:rFonts w:hint="eastAsia" w:ascii="仿宋" w:hAnsi="仿宋" w:eastAsia="仿宋" w:cs="仿宋"/>
                <w:lang w:eastAsia="zh-CN"/>
              </w:rPr>
              <w:t>局</w:t>
            </w:r>
            <w:r>
              <w:rPr>
                <w:rFonts w:hint="eastAsia" w:ascii="仿宋" w:hAnsi="仿宋" w:eastAsia="仿宋" w:cs="仿宋"/>
              </w:rPr>
              <w:t>办理《建设工程施工许可证》的特殊建设工程</w:t>
            </w:r>
          </w:p>
        </w:tc>
        <w:tc>
          <w:tcPr>
            <w:tcW w:w="1939"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市级受理</w:t>
            </w:r>
          </w:p>
        </w:tc>
        <w:tc>
          <w:tcPr>
            <w:tcW w:w="2100" w:type="dxa"/>
            <w:shd w:val="clear" w:color="auto" w:fill="FFFFFF"/>
            <w:noWrap w:val="0"/>
            <w:tcMar>
              <w:top w:w="8" w:type="dxa"/>
              <w:left w:w="8" w:type="dxa"/>
              <w:right w:w="8" w:type="dxa"/>
            </w:tcMar>
            <w:vAlign w:val="center"/>
          </w:tcPr>
          <w:p>
            <w:pPr>
              <w:pStyle w:val="2"/>
              <w:widowControl/>
              <w:jc w:val="center"/>
              <w:rPr>
                <w:rFonts w:hint="eastAsia" w:ascii="仿宋" w:hAnsi="仿宋" w:eastAsia="仿宋" w:cs="仿宋"/>
              </w:rPr>
            </w:pPr>
            <w:r>
              <w:rPr>
                <w:rFonts w:hint="eastAsia" w:ascii="仿宋" w:hAnsi="仿宋" w:eastAsia="仿宋" w:cs="仿宋"/>
              </w:rPr>
              <w:t>无</w:t>
            </w:r>
          </w:p>
        </w:tc>
      </w:tr>
    </w:tbl>
    <w:p>
      <w:pPr>
        <w:pStyle w:val="2"/>
        <w:widowControl/>
        <w:shd w:val="clear" w:color="auto" w:fill="FFFFFF"/>
        <w:spacing w:beforeAutospacing="0" w:afterAutospacing="0" w:line="578" w:lineRule="exact"/>
        <w:ind w:firstLine="640" w:firstLineChars="200"/>
        <w:jc w:val="both"/>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（一）内部装修工程</w:t>
      </w:r>
      <w:r>
        <w:rPr>
          <w:rFonts w:hint="eastAsia" w:ascii="仿宋" w:hAnsi="仿宋" w:eastAsia="仿宋" w:cs="仿宋"/>
          <w:color w:val="000000"/>
          <w:sz w:val="32"/>
          <w:szCs w:val="32"/>
          <w:shd w:val="clear" w:color="auto" w:fill="FFFFFF"/>
          <w:lang w:eastAsia="zh-CN"/>
        </w:rPr>
        <w:t>也适用</w:t>
      </w:r>
      <w:r>
        <w:rPr>
          <w:rFonts w:hint="eastAsia" w:ascii="仿宋" w:hAnsi="仿宋" w:eastAsia="仿宋" w:cs="仿宋"/>
          <w:color w:val="auto"/>
          <w:sz w:val="32"/>
          <w:szCs w:val="32"/>
        </w:rPr>
        <w:t>《暂行规定》</w:t>
      </w:r>
      <w:r>
        <w:rPr>
          <w:rFonts w:hint="eastAsia" w:ascii="仿宋" w:hAnsi="仿宋" w:eastAsia="仿宋" w:cs="仿宋"/>
          <w:color w:val="auto"/>
          <w:sz w:val="32"/>
          <w:szCs w:val="32"/>
          <w:lang w:eastAsia="zh-CN"/>
        </w:rPr>
        <w:t>第十四条规定</w:t>
      </w:r>
      <w:r>
        <w:rPr>
          <w:rFonts w:hint="eastAsia" w:ascii="仿宋" w:hAnsi="仿宋" w:eastAsia="仿宋" w:cs="仿宋"/>
          <w:color w:val="000000"/>
          <w:sz w:val="32"/>
          <w:szCs w:val="32"/>
          <w:shd w:val="clear" w:color="auto" w:fill="FFFFFF"/>
        </w:rPr>
        <w:t>。</w:t>
      </w:r>
    </w:p>
    <w:p>
      <w:pPr>
        <w:pStyle w:val="2"/>
        <w:widowControl/>
        <w:numPr>
          <w:ilvl w:val="0"/>
          <w:numId w:val="1"/>
        </w:numPr>
        <w:shd w:val="clear" w:color="auto" w:fill="FFFFFF"/>
        <w:spacing w:beforeAutospacing="0" w:afterAutospacing="0" w:line="578" w:lineRule="exact"/>
        <w:ind w:left="-10" w:leftChars="0" w:firstLine="640" w:firstLineChars="0"/>
        <w:jc w:val="both"/>
        <w:rPr>
          <w:rFonts w:hint="default" w:ascii="仿宋" w:hAnsi="仿宋" w:eastAsia="仿宋" w:cs="仿宋"/>
          <w:color w:val="000000"/>
          <w:sz w:val="32"/>
          <w:szCs w:val="32"/>
          <w:shd w:val="clear" w:color="auto" w:fill="FFFFFF"/>
          <w:lang w:val="en-US" w:eastAsia="zh-CN"/>
        </w:rPr>
      </w:pPr>
      <w:r>
        <w:rPr>
          <w:rFonts w:hint="eastAsia" w:ascii="仿宋_GB2312" w:eastAsia="仿宋_GB2312"/>
          <w:sz w:val="32"/>
          <w:szCs w:val="32"/>
        </w:rPr>
        <w:t>在202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7</w:t>
      </w:r>
      <w:r>
        <w:rPr>
          <w:rFonts w:hint="eastAsia" w:ascii="仿宋_GB2312" w:eastAsia="仿宋_GB2312"/>
          <w:sz w:val="32"/>
          <w:szCs w:val="32"/>
        </w:rPr>
        <w:t>月1日前各县(</w:t>
      </w:r>
      <w:r>
        <w:rPr>
          <w:rFonts w:hint="eastAsia" w:ascii="仿宋_GB2312" w:eastAsia="仿宋_GB2312"/>
          <w:sz w:val="32"/>
          <w:szCs w:val="32"/>
          <w:lang w:eastAsia="zh-CN"/>
        </w:rPr>
        <w:t>市、</w:t>
      </w:r>
      <w:r>
        <w:rPr>
          <w:rFonts w:hint="eastAsia" w:ascii="仿宋_GB2312" w:eastAsia="仿宋_GB2312"/>
          <w:sz w:val="32"/>
          <w:szCs w:val="32"/>
        </w:rPr>
        <w:t>区)住建部门已受理或建设单位已依法取得消防设计审查合格意见书的建设工程，仍由原各县(</w:t>
      </w:r>
      <w:r>
        <w:rPr>
          <w:rFonts w:hint="eastAsia" w:ascii="仿宋_GB2312" w:eastAsia="仿宋_GB2312"/>
          <w:sz w:val="32"/>
          <w:szCs w:val="32"/>
          <w:lang w:eastAsia="zh-CN"/>
        </w:rPr>
        <w:t>市、</w:t>
      </w:r>
      <w:r>
        <w:rPr>
          <w:rFonts w:hint="eastAsia" w:ascii="仿宋_GB2312" w:eastAsia="仿宋_GB2312"/>
          <w:sz w:val="32"/>
          <w:szCs w:val="32"/>
        </w:rPr>
        <w:t>区)住建部门负责受理。</w:t>
      </w:r>
    </w:p>
    <w:p>
      <w:pPr>
        <w:pStyle w:val="2"/>
        <w:widowControl/>
        <w:numPr>
          <w:ilvl w:val="0"/>
          <w:numId w:val="1"/>
        </w:numPr>
        <w:shd w:val="clear" w:color="auto" w:fill="FFFFFF"/>
        <w:spacing w:beforeAutospacing="0" w:afterAutospacing="0" w:line="578" w:lineRule="exact"/>
        <w:ind w:left="-10" w:leftChars="0" w:firstLine="640" w:firstLineChars="0"/>
        <w:jc w:val="both"/>
        <w:rPr>
          <w:rFonts w:hint="default"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同一建设项目中既包括特殊建设工程，又包括其他建设工程，建设单位可自由选择将其他建设工程与特殊建设工程作为一个建设工程整体进行消防设计审查验收，也可将项目拆分对特殊建设工程进行消防设计审查验收，对其他建设工程进行消防验收备案。</w:t>
      </w:r>
    </w:p>
    <w:p>
      <w:pPr>
        <w:pStyle w:val="2"/>
        <w:widowControl/>
        <w:numPr>
          <w:ilvl w:val="0"/>
          <w:numId w:val="1"/>
        </w:numPr>
        <w:shd w:val="clear" w:color="auto" w:fill="FFFFFF"/>
        <w:spacing w:beforeAutospacing="0" w:afterAutospacing="0" w:line="578" w:lineRule="exact"/>
        <w:ind w:left="-10" w:leftChars="0" w:firstLine="640" w:firstLineChars="0"/>
        <w:jc w:val="both"/>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同一建设项目（指同一开发周期，同一批《建设工程规划许可证》）中既包括符合市级受理范围的工程，又包括符合县（市、区）级受理范围的工程，建设单位可选择将建设项目作为一个建设工程整体由市级住建部门受理。</w:t>
      </w:r>
    </w:p>
    <w:p>
      <w:pPr>
        <w:pStyle w:val="2"/>
        <w:widowControl/>
        <w:numPr>
          <w:ilvl w:val="0"/>
          <w:numId w:val="1"/>
        </w:numPr>
        <w:shd w:val="clear" w:color="auto" w:fill="FFFFFF"/>
        <w:spacing w:beforeAutospacing="0" w:afterAutospacing="0" w:line="578" w:lineRule="exact"/>
        <w:ind w:left="-10" w:leftChars="0" w:firstLine="640" w:firstLineChars="0"/>
        <w:jc w:val="both"/>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市本级财政投资项目或建设工程在江门市住房和城乡建设局办理《建设工程施工许可证》的特殊建设工程不论建设规模大小均由市级受理。</w:t>
      </w:r>
    </w:p>
    <w:p>
      <w:pPr>
        <w:rPr>
          <w:rFonts w:hint="eastAsia" w:ascii="黑体" w:hAnsi="黑体" w:eastAsia="黑体" w:cs="黑体"/>
          <w:sz w:val="32"/>
          <w:szCs w:val="32"/>
          <w:lang w:eastAsia="zh-CN"/>
        </w:rPr>
      </w:pPr>
      <w:r>
        <w:rPr>
          <w:rFonts w:hint="eastAsia" w:ascii="黑体" w:hAnsi="黑体" w:eastAsia="黑体" w:cs="黑体"/>
          <w:sz w:val="32"/>
          <w:szCs w:val="32"/>
          <w:lang w:val="en-US" w:eastAsia="zh-CN"/>
        </w:rPr>
        <w:t>七</w:t>
      </w:r>
      <w:r>
        <w:rPr>
          <w:rFonts w:hint="eastAsia" w:ascii="黑体" w:hAnsi="黑体" w:eastAsia="黑体" w:cs="黑体"/>
          <w:sz w:val="32"/>
          <w:szCs w:val="32"/>
          <w:lang w:eastAsia="zh-CN"/>
        </w:rPr>
        <w:t>、申报材料</w:t>
      </w:r>
    </w:p>
    <w:tbl>
      <w:tblPr>
        <w:tblStyle w:val="3"/>
        <w:tblW w:w="85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45"/>
        <w:gridCol w:w="885"/>
        <w:gridCol w:w="1560"/>
        <w:gridCol w:w="2235"/>
        <w:gridCol w:w="32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序号</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材料</w:t>
            </w:r>
          </w:p>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类型</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材料名称</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材料形式</w:t>
            </w:r>
          </w:p>
        </w:tc>
        <w:tc>
          <w:tcPr>
            <w:tcW w:w="3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材料要求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1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消防设计审查申请表</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特殊建设工程消防设计审查申报表</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原件彩色扫描PDF格式上传工建平台</w:t>
            </w:r>
          </w:p>
        </w:tc>
        <w:tc>
          <w:tcPr>
            <w:tcW w:w="3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按要求加盖单位公章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2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申请单位基本信息</w:t>
            </w: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color w:val="000000"/>
                <w:kern w:val="0"/>
                <w:sz w:val="20"/>
                <w:szCs w:val="20"/>
              </w:rPr>
              <w:t>建设单位的统一社会信用代码证</w:t>
            </w:r>
            <w:r>
              <w:rPr>
                <w:rFonts w:hint="eastAsia" w:ascii="仿宋" w:hAnsi="仿宋" w:eastAsia="仿宋" w:cs="仿宋"/>
                <w:color w:val="000000"/>
                <w:kern w:val="0"/>
                <w:sz w:val="20"/>
                <w:szCs w:val="20"/>
                <w:lang w:val="en-US" w:eastAsia="zh-CN"/>
              </w:rPr>
              <w:t>及法定代表人身份明文件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原件彩色扫描PD</w:t>
            </w:r>
            <w:bookmarkStart w:id="0" w:name="_GoBack"/>
            <w:bookmarkEnd w:id="0"/>
            <w:r>
              <w:rPr>
                <w:rFonts w:hint="eastAsia" w:ascii="仿宋" w:hAnsi="仿宋" w:eastAsia="仿宋" w:cs="仿宋"/>
                <w:i w:val="0"/>
                <w:color w:val="000000"/>
                <w:kern w:val="0"/>
                <w:sz w:val="22"/>
                <w:szCs w:val="22"/>
                <w:u w:val="none"/>
                <w:lang w:val="en-US" w:eastAsia="zh-CN" w:bidi="ar"/>
              </w:rPr>
              <w:t>F格式上传工建平台</w:t>
            </w:r>
          </w:p>
        </w:tc>
        <w:tc>
          <w:tcPr>
            <w:tcW w:w="3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可根据实际提供建设单位相关证明材料代替（盖建设单位公章,无公章需法定代表人或负责人签名按手印）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10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授权委托书及经办人身份证明文件</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仿宋" w:hAnsi="仿宋" w:eastAsia="仿宋" w:cs="仿宋"/>
                <w:i w:val="0"/>
                <w:color w:val="000000"/>
                <w:sz w:val="22"/>
                <w:szCs w:val="22"/>
                <w:u w:val="none"/>
                <w:lang w:val="en-US"/>
              </w:rPr>
            </w:pPr>
            <w:r>
              <w:rPr>
                <w:rFonts w:hint="eastAsia" w:ascii="仿宋" w:hAnsi="仿宋" w:eastAsia="仿宋" w:cs="仿宋"/>
                <w:i w:val="0"/>
                <w:color w:val="000000"/>
                <w:kern w:val="0"/>
                <w:sz w:val="22"/>
                <w:szCs w:val="22"/>
                <w:u w:val="none"/>
                <w:lang w:val="en-US" w:eastAsia="zh-CN" w:bidi="ar"/>
              </w:rPr>
              <w:t>原件彩色扫描PDF格式上传工建平台</w:t>
            </w:r>
          </w:p>
        </w:tc>
        <w:tc>
          <w:tcPr>
            <w:tcW w:w="3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授权委托书应注明被授权人身份证号码，联系电话、授权内容，授权期限、被委托人及委托人的签名及单位盖章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9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消防设计文件</w:t>
            </w:r>
          </w:p>
        </w:tc>
        <w:tc>
          <w:tcPr>
            <w:tcW w:w="156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设计说明书（消防设计专篇）</w:t>
            </w:r>
          </w:p>
        </w:tc>
        <w:tc>
          <w:tcPr>
            <w:tcW w:w="223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原件彩色扫描PDF格式上传工建平台</w:t>
            </w:r>
          </w:p>
        </w:tc>
        <w:tc>
          <w:tcPr>
            <w:tcW w:w="32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按照《江门市特殊建设工程消防设计审查消防设计专篇编制指引》完成编制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设计文件  </w:t>
            </w:r>
          </w:p>
        </w:tc>
        <w:tc>
          <w:tcPr>
            <w:tcW w:w="22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设计图纸上传工建平台</w:t>
            </w:r>
          </w:p>
        </w:tc>
        <w:tc>
          <w:tcPr>
            <w:tcW w:w="32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keepNext w:val="0"/>
              <w:keepLines w:val="0"/>
              <w:widowControl/>
              <w:suppressLineNumbers w:val="0"/>
              <w:ind w:left="0"/>
              <w:rPr>
                <w:rFonts w:hint="default" w:ascii="仿宋" w:hAnsi="仿宋" w:eastAsia="仿宋" w:cs="仿宋"/>
                <w:i w:val="0"/>
                <w:color w:val="000000"/>
                <w:sz w:val="22"/>
                <w:szCs w:val="22"/>
                <w:u w:val="none"/>
                <w:lang w:val="en-US"/>
              </w:rPr>
            </w:pPr>
            <w:r>
              <w:rPr>
                <w:rFonts w:hint="eastAsia" w:ascii="仿宋" w:hAnsi="仿宋" w:eastAsia="仿宋" w:cs="仿宋"/>
                <w:i w:val="0"/>
                <w:color w:val="000000"/>
                <w:kern w:val="0"/>
                <w:sz w:val="22"/>
                <w:szCs w:val="22"/>
                <w:u w:val="none"/>
                <w:lang w:val="en-US" w:eastAsia="zh-CN" w:bidi="ar"/>
              </w:rPr>
              <w:t xml:space="preserve">电子图纸需加盖建设单位、设计单位和施工图审查单位的电子签章，电子签章应符合《中华人民共和国电子签名法 </w:t>
            </w:r>
            <w:r>
              <w:rPr>
                <w:rFonts w:hint="default" w:ascii="仿宋" w:hAnsi="仿宋" w:eastAsia="仿宋" w:cs="仿宋"/>
                <w:i w:val="0"/>
                <w:color w:val="000000"/>
                <w:kern w:val="0"/>
                <w:sz w:val="22"/>
                <w:szCs w:val="22"/>
                <w:u w:val="none"/>
                <w:lang w:val="en-US" w:eastAsia="zh-CN" w:bidi="ar"/>
              </w:rPr>
              <w:t>》</w:t>
            </w:r>
            <w:r>
              <w:rPr>
                <w:rFonts w:hint="eastAsia" w:ascii="仿宋" w:hAnsi="仿宋" w:eastAsia="仿宋" w:cs="仿宋"/>
                <w:i w:val="0"/>
                <w:color w:val="000000"/>
                <w:kern w:val="0"/>
                <w:sz w:val="22"/>
                <w:szCs w:val="22"/>
                <w:u w:val="none"/>
                <w:lang w:val="en-US" w:eastAsia="zh-CN" w:bidi="ar"/>
              </w:rPr>
              <w:t>要求；</w:t>
            </w:r>
            <w:r>
              <w:rPr>
                <w:rFonts w:hint="default" w:ascii="仿宋" w:hAnsi="仿宋" w:eastAsia="仿宋" w:cs="仿宋"/>
                <w:i w:val="0"/>
                <w:color w:val="000000"/>
                <w:kern w:val="0"/>
                <w:sz w:val="22"/>
                <w:szCs w:val="22"/>
                <w:u w:val="none"/>
                <w:lang w:val="en-US" w:eastAsia="zh-CN" w:bidi="ar"/>
              </w:rPr>
              <w:t xml:space="preserve"> </w:t>
            </w:r>
            <w:r>
              <w:rPr>
                <w:rFonts w:hint="eastAsia" w:ascii="仿宋" w:hAnsi="仿宋" w:eastAsia="仿宋" w:cs="仿宋"/>
                <w:i w:val="0"/>
                <w:color w:val="000000"/>
                <w:kern w:val="0"/>
                <w:sz w:val="22"/>
                <w:szCs w:val="22"/>
                <w:u w:val="none"/>
                <w:lang w:val="en-US" w:eastAsia="zh-CN" w:bidi="ar"/>
              </w:rPr>
              <w:t>图纸无电子签章的应上传盖章齐全的纸质图纸彩色扫描件，扫描分辨率不低于 300dpi；PDF图纸文件名称要求： 单体建筑名称</w:t>
            </w:r>
            <w:r>
              <w:rPr>
                <w:rFonts w:hint="default" w:ascii="仿宋" w:hAnsi="仿宋" w:eastAsia="仿宋" w:cs="仿宋"/>
                <w:i w:val="0"/>
                <w:color w:val="000000"/>
                <w:kern w:val="0"/>
                <w:sz w:val="22"/>
                <w:szCs w:val="22"/>
                <w:u w:val="none"/>
                <w:lang w:val="en-US" w:eastAsia="zh-CN" w:bidi="ar"/>
              </w:rPr>
              <w:t>+</w:t>
            </w:r>
            <w:r>
              <w:rPr>
                <w:rFonts w:hint="eastAsia" w:ascii="仿宋" w:hAnsi="仿宋" w:eastAsia="仿宋" w:cs="仿宋"/>
                <w:i w:val="0"/>
                <w:color w:val="000000"/>
                <w:kern w:val="0"/>
                <w:sz w:val="22"/>
                <w:szCs w:val="22"/>
                <w:u w:val="none"/>
                <w:lang w:val="en-US" w:eastAsia="zh-CN" w:bidi="ar"/>
              </w:rPr>
              <w:t>图纸名称。图纸电子光盘（如有）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c>
          <w:tcPr>
            <w:tcW w:w="22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c>
          <w:tcPr>
            <w:tcW w:w="32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95"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c>
          <w:tcPr>
            <w:tcW w:w="156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第三方服务机构出具的施工图设计文件审查合格书（消防）</w:t>
            </w:r>
          </w:p>
        </w:tc>
        <w:tc>
          <w:tcPr>
            <w:tcW w:w="223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原件彩色扫描PDF格式上传工建平台</w:t>
            </w:r>
          </w:p>
        </w:tc>
        <w:tc>
          <w:tcPr>
            <w:tcW w:w="32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lang w:val="en-US" w:eastAsia="zh-CN"/>
              </w:rPr>
            </w:pPr>
            <w:r>
              <w:rPr>
                <w:rFonts w:hint="eastAsia" w:ascii="仿宋" w:hAnsi="仿宋" w:eastAsia="仿宋" w:cs="仿宋"/>
                <w:i w:val="0"/>
                <w:color w:val="000000"/>
                <w:sz w:val="22"/>
                <w:szCs w:val="22"/>
                <w:u w:val="none"/>
                <w:lang w:val="en-US" w:eastAsia="zh-CN"/>
              </w:rPr>
              <w:t>含审图过程记录表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规划许可证明文件</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建设工程规划许可文件（新建、扩建项目）</w:t>
            </w:r>
          </w:p>
        </w:tc>
        <w:tc>
          <w:tcPr>
            <w:tcW w:w="22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建设工程规划许可文件（含建筑方案设计图）原件彩色扫描PDF格式上传工建平台，加盖建设单位章</w:t>
            </w:r>
          </w:p>
        </w:tc>
        <w:tc>
          <w:tcPr>
            <w:tcW w:w="32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依法需要办理建设工程规划许可的，应当提交建设工程规划许可文件；依法需要批准的临时性建筑，应当提交批准文件；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c>
          <w:tcPr>
            <w:tcW w:w="22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2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c>
          <w:tcPr>
            <w:tcW w:w="22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2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c>
          <w:tcPr>
            <w:tcW w:w="22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2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20" w:hRule="atLeast"/>
        </w:trPr>
        <w:tc>
          <w:tcPr>
            <w:tcW w:w="645" w:type="dxa"/>
            <w:vMerge w:val="continue"/>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c>
          <w:tcPr>
            <w:tcW w:w="885" w:type="dxa"/>
            <w:vMerge w:val="continue"/>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申报改建工程（含内部装修、用途变更）材料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建设工程规划许可文件（含建筑方案设计图）或房产证原件彩色扫描PDF格式上传工建平台，加盖建设单位章。</w:t>
            </w:r>
          </w:p>
        </w:tc>
        <w:tc>
          <w:tcPr>
            <w:tcW w:w="3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依法需要办理建设工程规划许可的，应当提交建设工程规划许可文件；依法需要批准的临时性建筑，应当提交批准文件。依法不需要办理建设工程规划许可的，提供建筑房产证明文件。</w:t>
            </w:r>
          </w:p>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（1）属1998年9月1日前投入使用的建设工程（场所），可提供证明其投入使用时间和当时使用性质的房屋产权证明等建筑物合法证明材料；</w:t>
            </w:r>
          </w:p>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（2）对于提供无法佐证建筑使用功能等情况的单位，可到各地不动产登记中心通过查询《房屋所有权存根》，加盖不动产中心的信息查询印章，可作为建筑使用功能合法证明材料；</w:t>
            </w:r>
          </w:p>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（3）设计调整或装修工程根据需要提供原消防审验批文。</w:t>
            </w:r>
          </w:p>
          <w:p>
            <w:pPr>
              <w:keepNext w:val="0"/>
              <w:keepLines w:val="0"/>
              <w:widowControl/>
              <w:suppressLineNumbers w:val="0"/>
              <w:jc w:val="left"/>
              <w:textAlignment w:val="center"/>
              <w:rPr>
                <w:rFonts w:hint="default" w:ascii="仿宋" w:hAnsi="仿宋" w:eastAsia="仿宋" w:cs="仿宋"/>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95" w:hRule="atLeast"/>
        </w:trPr>
        <w:tc>
          <w:tcPr>
            <w:tcW w:w="64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lang w:val="en-US" w:eastAsia="zh-CN"/>
              </w:rPr>
            </w:pPr>
            <w:r>
              <w:rPr>
                <w:rFonts w:hint="eastAsia" w:ascii="仿宋" w:hAnsi="仿宋" w:eastAsia="仿宋" w:cs="仿宋"/>
                <w:i w:val="0"/>
                <w:color w:val="000000"/>
                <w:sz w:val="24"/>
                <w:szCs w:val="24"/>
                <w:u w:val="none"/>
                <w:lang w:val="en-US" w:eastAsia="zh-CN"/>
              </w:rPr>
              <w:t>5</w:t>
            </w:r>
          </w:p>
        </w:tc>
        <w:tc>
          <w:tcPr>
            <w:tcW w:w="88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lang w:eastAsia="zh-CN"/>
              </w:rPr>
            </w:pPr>
            <w:r>
              <w:rPr>
                <w:rFonts w:hint="eastAsia" w:ascii="仿宋" w:hAnsi="仿宋" w:eastAsia="仿宋" w:cs="仿宋"/>
                <w:i w:val="0"/>
                <w:color w:val="000000"/>
                <w:sz w:val="22"/>
                <w:szCs w:val="22"/>
                <w:u w:val="none"/>
                <w:lang w:eastAsia="zh-CN"/>
              </w:rPr>
              <w:t>其他</w:t>
            </w:r>
          </w:p>
        </w:tc>
        <w:tc>
          <w:tcPr>
            <w:tcW w:w="156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设计单位、施工图审查机构及相关人员身份证明和资质材料（非必要材料）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原件彩色扫描PDF格式上传系统</w:t>
            </w:r>
          </w:p>
        </w:tc>
        <w:tc>
          <w:tcPr>
            <w:tcW w:w="3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加盖单位章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95" w:hRule="atLeast"/>
        </w:trPr>
        <w:tc>
          <w:tcPr>
            <w:tcW w:w="64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lang w:val="en-US" w:eastAsia="zh-CN"/>
              </w:rPr>
            </w:pPr>
          </w:p>
        </w:tc>
        <w:tc>
          <w:tcPr>
            <w:tcW w:w="88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lang w:eastAsia="zh-CN"/>
              </w:rPr>
            </w:pPr>
          </w:p>
        </w:tc>
        <w:tc>
          <w:tcPr>
            <w:tcW w:w="156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租赁合同、公安门牌编订文件</w:t>
            </w:r>
            <w:r>
              <w:rPr>
                <w:rFonts w:hint="eastAsia" w:ascii="仿宋" w:hAnsi="仿宋" w:eastAsia="仿宋" w:cs="仿宋"/>
                <w:i w:val="0"/>
                <w:color w:val="FF0000"/>
                <w:kern w:val="0"/>
                <w:sz w:val="22"/>
                <w:szCs w:val="22"/>
                <w:u w:val="none"/>
                <w:lang w:val="en-US" w:eastAsia="zh-CN" w:bidi="ar"/>
              </w:rPr>
              <w:t>（非必要材料）</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原件彩色扫描PDF格式上传系统，加盖单位章</w:t>
            </w:r>
          </w:p>
        </w:tc>
        <w:tc>
          <w:tcPr>
            <w:tcW w:w="3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改建工程所在建设工程（场所）的的房屋权属文件与建设单位地址不一致时才要求提供、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95" w:hRule="atLeast"/>
        </w:trPr>
        <w:tc>
          <w:tcPr>
            <w:tcW w:w="64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4"/>
                <w:szCs w:val="24"/>
                <w:u w:val="none"/>
                <w:lang w:val="en-US" w:eastAsia="zh-CN"/>
              </w:rPr>
            </w:pPr>
          </w:p>
        </w:tc>
        <w:tc>
          <w:tcPr>
            <w:tcW w:w="88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lang w:eastAsia="zh-CN"/>
              </w:rPr>
            </w:pPr>
          </w:p>
        </w:tc>
        <w:tc>
          <w:tcPr>
            <w:tcW w:w="156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申报材料真实性承诺书</w:t>
            </w:r>
          </w:p>
        </w:tc>
        <w:tc>
          <w:tcPr>
            <w:tcW w:w="22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原件彩色扫描PDF格式上传系统，加盖单位章</w:t>
            </w:r>
          </w:p>
        </w:tc>
        <w:tc>
          <w:tcPr>
            <w:tcW w:w="32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法人代表或主要负责人签名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72" w:hRule="atLeast"/>
        </w:trPr>
        <w:tc>
          <w:tcPr>
            <w:tcW w:w="8558" w:type="dxa"/>
            <w:gridSpan w:val="5"/>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根据《江门市工程建设项目审批制度改革工作领导小组办公室关于印发&lt;2022年江门市深化工程建设项目审批制度改革工作要点&gt;的通知》文件要求，对所有的</w:t>
            </w:r>
            <w:r>
              <w:rPr>
                <w:rFonts w:hint="eastAsia" w:ascii="仿宋" w:hAnsi="仿宋" w:eastAsia="仿宋" w:cs="仿宋"/>
                <w:i w:val="0"/>
                <w:color w:val="000000"/>
                <w:kern w:val="0"/>
                <w:sz w:val="22"/>
                <w:szCs w:val="22"/>
                <w:u w:val="none"/>
                <w:lang w:val="en-US" w:eastAsia="zh-CN" w:bidi="ar"/>
              </w:rPr>
              <w:t>消防设计审查项目</w:t>
            </w:r>
            <w:r>
              <w:rPr>
                <w:rFonts w:hint="eastAsia" w:ascii="仿宋" w:hAnsi="仿宋" w:eastAsia="仿宋" w:cs="仿宋"/>
                <w:i w:val="0"/>
                <w:color w:val="000000"/>
                <w:kern w:val="0"/>
                <w:sz w:val="22"/>
                <w:szCs w:val="22"/>
                <w:u w:val="none"/>
                <w:lang w:val="en-US" w:eastAsia="zh-CN" w:bidi="ar"/>
              </w:rPr>
              <w:t>，不再收取纸质材料，申请材料以电子档案的形式保存，以</w:t>
            </w:r>
            <w:r>
              <w:rPr>
                <w:rFonts w:hint="eastAsia" w:ascii="仿宋" w:hAnsi="仿宋" w:eastAsia="仿宋" w:cs="仿宋"/>
                <w:i w:val="0"/>
                <w:color w:val="000000"/>
                <w:kern w:val="0"/>
                <w:sz w:val="20"/>
                <w:szCs w:val="20"/>
                <w:u w:val="none"/>
                <w:lang w:val="en-US" w:eastAsia="zh-CN" w:bidi="ar"/>
              </w:rPr>
              <w:t>彩色扫描件PDF格式</w:t>
            </w:r>
            <w:r>
              <w:rPr>
                <w:rFonts w:hint="eastAsia" w:ascii="仿宋" w:hAnsi="仿宋" w:eastAsia="仿宋" w:cs="仿宋"/>
                <w:i w:val="0"/>
                <w:color w:val="000000"/>
                <w:kern w:val="0"/>
                <w:sz w:val="22"/>
                <w:szCs w:val="22"/>
                <w:u w:val="none"/>
                <w:lang w:val="en-US" w:eastAsia="zh-CN" w:bidi="ar"/>
              </w:rPr>
              <w:t>上传至工建平台即可。</w:t>
            </w:r>
          </w:p>
        </w:tc>
      </w:tr>
    </w:tbl>
    <w:p>
      <w:pPr>
        <w:numPr>
          <w:ilvl w:val="0"/>
          <w:numId w:val="0"/>
        </w:num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八、收费标准</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免费办理。</w:t>
      </w:r>
    </w:p>
    <w:p>
      <w:pPr>
        <w:rPr>
          <w:rFonts w:hint="eastAsia" w:ascii="黑体" w:hAnsi="黑体" w:eastAsia="黑体" w:cs="黑体"/>
          <w:sz w:val="32"/>
          <w:szCs w:val="32"/>
          <w:lang w:eastAsia="zh-CN"/>
        </w:rPr>
      </w:pPr>
      <w:r>
        <w:rPr>
          <w:rFonts w:hint="eastAsia" w:ascii="黑体" w:hAnsi="黑体" w:eastAsia="黑体" w:cs="黑体"/>
          <w:sz w:val="32"/>
          <w:szCs w:val="32"/>
          <w:lang w:val="en-US" w:eastAsia="zh-CN"/>
        </w:rPr>
        <w:t>九、</w:t>
      </w:r>
      <w:r>
        <w:rPr>
          <w:rFonts w:hint="eastAsia" w:ascii="黑体" w:hAnsi="黑体" w:eastAsia="黑体" w:cs="黑体"/>
          <w:sz w:val="32"/>
          <w:szCs w:val="32"/>
          <w:lang w:eastAsia="zh-CN"/>
        </w:rPr>
        <w:t>办理流程</w:t>
      </w:r>
    </w:p>
    <w:p>
      <w:pPr>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（一）申请</w:t>
      </w:r>
    </w:p>
    <w:p>
      <w:pPr>
        <w:ind w:firstLine="640" w:firstLineChars="200"/>
        <w:rPr>
          <w:rFonts w:hint="eastAsia" w:ascii="仿宋_GB2312" w:hAnsi="仿宋_GB2312" w:eastAsia="仿宋_GB2312" w:cs="仿宋_GB2312"/>
          <w:color w:val="FF0000"/>
          <w:sz w:val="32"/>
          <w:szCs w:val="32"/>
        </w:rPr>
      </w:pPr>
      <w:r>
        <w:rPr>
          <w:rFonts w:hint="eastAsia" w:ascii="仿宋" w:hAnsi="仿宋" w:eastAsia="仿宋" w:cs="仿宋"/>
          <w:sz w:val="32"/>
          <w:szCs w:val="32"/>
          <w:lang w:eastAsia="zh-CN"/>
        </w:rPr>
        <w:t>方式一【推荐模式】：申请人可以</w:t>
      </w:r>
      <w:r>
        <w:rPr>
          <w:rFonts w:hint="eastAsia" w:ascii="仿宋_GB2312" w:hAnsi="仿宋_GB2312" w:eastAsia="仿宋_GB2312" w:cs="仿宋_GB2312"/>
          <w:sz w:val="32"/>
          <w:szCs w:val="32"/>
        </w:rPr>
        <w:t>通过江门市工程建设项目审批管理平台项目会商系统提出申请并提供消防设计申请材料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消防设计审查验收主管部门</w:t>
      </w:r>
      <w:r>
        <w:rPr>
          <w:rFonts w:hint="eastAsia" w:ascii="仿宋_GB2312" w:hAnsi="仿宋_GB2312" w:eastAsia="仿宋_GB2312" w:cs="仿宋_GB2312"/>
          <w:sz w:val="32"/>
          <w:szCs w:val="32"/>
          <w:lang w:eastAsia="zh-CN"/>
        </w:rPr>
        <w:t>预审</w:t>
      </w:r>
      <w:r>
        <w:rPr>
          <w:rFonts w:hint="eastAsia" w:ascii="仿宋_GB2312" w:hAnsi="仿宋_GB2312" w:eastAsia="仿宋_GB2312" w:cs="仿宋_GB2312"/>
          <w:sz w:val="32"/>
          <w:szCs w:val="32"/>
        </w:rPr>
        <w:t>后，</w:t>
      </w:r>
      <w:r>
        <w:rPr>
          <w:rFonts w:hint="eastAsia" w:ascii="仿宋_GB2312" w:hAnsi="仿宋_GB2312" w:eastAsia="仿宋_GB2312" w:cs="仿宋_GB2312"/>
          <w:sz w:val="32"/>
          <w:szCs w:val="32"/>
          <w:lang w:eastAsia="zh-CN"/>
        </w:rPr>
        <w:t>再到</w:t>
      </w:r>
      <w:r>
        <w:rPr>
          <w:rFonts w:hint="eastAsia" w:ascii="仿宋" w:hAnsi="仿宋" w:eastAsia="仿宋" w:cs="仿宋"/>
          <w:sz w:val="32"/>
          <w:szCs w:val="32"/>
        </w:rPr>
        <w:t>当地行政服务中心窗口申请</w:t>
      </w:r>
      <w:r>
        <w:rPr>
          <w:rFonts w:hint="eastAsia" w:ascii="仿宋_GB2312" w:hAnsi="仿宋_GB2312" w:eastAsia="仿宋_GB2312" w:cs="仿宋_GB2312"/>
          <w:sz w:val="32"/>
          <w:szCs w:val="32"/>
        </w:rPr>
        <w:t>正式申报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已经在会商系统提交的材料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如无变更，申请人无需再次提交</w:t>
      </w:r>
      <w:r>
        <w:rPr>
          <w:rFonts w:hint="eastAsia" w:ascii="仿宋_GB2312" w:hAnsi="仿宋_GB2312" w:eastAsia="仿宋_GB2312" w:cs="仿宋_GB2312"/>
          <w:sz w:val="32"/>
          <w:szCs w:val="32"/>
          <w:lang w:eastAsia="zh-CN"/>
        </w:rPr>
        <w:t>，系统直接采用</w:t>
      </w:r>
      <w:r>
        <w:rPr>
          <w:rFonts w:hint="eastAsia" w:ascii="仿宋_GB2312" w:hAnsi="仿宋_GB2312" w:eastAsia="仿宋_GB2312" w:cs="仿宋_GB2312"/>
          <w:sz w:val="32"/>
          <w:szCs w:val="32"/>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方式二：</w:t>
      </w:r>
      <w:r>
        <w:rPr>
          <w:rFonts w:hint="eastAsia" w:ascii="仿宋" w:hAnsi="仿宋" w:eastAsia="仿宋" w:cs="仿宋"/>
          <w:sz w:val="32"/>
          <w:szCs w:val="32"/>
        </w:rPr>
        <w:t>申请人前往当地行政服务中心窗口申请，提交相关申请材料。</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drawing>
          <wp:inline distT="0" distB="0" distL="114300" distR="114300">
            <wp:extent cx="5271770" cy="7071995"/>
            <wp:effectExtent l="0" t="0" r="5080" b="14605"/>
            <wp:docPr id="1" name="图片 1" descr="特殊建设工程消防设计审查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特殊建设工程消防设计审查流程图"/>
                    <pic:cNvPicPr>
                      <a:picLocks noChangeAspect="1"/>
                    </pic:cNvPicPr>
                  </pic:nvPicPr>
                  <pic:blipFill>
                    <a:blip r:embed="rId4"/>
                    <a:stretch>
                      <a:fillRect/>
                    </a:stretch>
                  </pic:blipFill>
                  <pic:spPr>
                    <a:xfrm>
                      <a:off x="0" y="0"/>
                      <a:ext cx="5271770" cy="7071995"/>
                    </a:xfrm>
                    <a:prstGeom prst="rect">
                      <a:avLst/>
                    </a:prstGeom>
                  </pic:spPr>
                </pic:pic>
              </a:graphicData>
            </a:graphic>
          </wp:inline>
        </w:drawing>
      </w:r>
    </w:p>
    <w:p>
      <w:pPr>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（二）受理</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申请材料齐全，符合法定形式，予以受理；申请材料不齐全或者不符合法定形式，一次性告知申请人需要补正的全部内容；申请的建设工程依法不需要消防设计审查或不属于本单位职权范围的，不予受理。</w:t>
      </w:r>
    </w:p>
    <w:p>
      <w:pPr>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（三）审查</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自受理申请之日起</w:t>
      </w:r>
      <w:r>
        <w:rPr>
          <w:rFonts w:hint="eastAsia" w:ascii="仿宋" w:hAnsi="仿宋" w:eastAsia="仿宋" w:cs="仿宋"/>
          <w:sz w:val="32"/>
          <w:szCs w:val="32"/>
          <w:lang w:val="en-US" w:eastAsia="zh-CN"/>
        </w:rPr>
        <w:t>10</w:t>
      </w:r>
      <w:r>
        <w:rPr>
          <w:rFonts w:hint="eastAsia" w:ascii="仿宋" w:hAnsi="仿宋" w:eastAsia="仿宋" w:cs="仿宋"/>
          <w:sz w:val="32"/>
          <w:szCs w:val="32"/>
        </w:rPr>
        <w:t>个工作日内完成消防设计审查。按照《暂行规定》需组织专家评审的，专家评审时间不计算在审查时间内。</w:t>
      </w:r>
    </w:p>
    <w:p>
      <w:pPr>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（四）送达</w:t>
      </w:r>
    </w:p>
    <w:p>
      <w:pPr>
        <w:spacing w:line="570" w:lineRule="exact"/>
        <w:ind w:firstLine="640" w:firstLineChars="200"/>
        <w:rPr>
          <w:rFonts w:hint="eastAsia" w:eastAsia="方正仿宋_GBK"/>
          <w:sz w:val="32"/>
          <w:szCs w:val="32"/>
          <w:lang w:eastAsia="zh-CN"/>
        </w:rPr>
      </w:pPr>
      <w:r>
        <w:rPr>
          <w:rFonts w:hint="eastAsia" w:ascii="仿宋" w:hAnsi="仿宋" w:eastAsia="仿宋" w:cs="仿宋"/>
          <w:sz w:val="32"/>
          <w:szCs w:val="32"/>
          <w:lang w:eastAsia="zh-CN"/>
        </w:rPr>
        <w:t>申请人可以通过工建平台直接打印电子证照。</w:t>
      </w:r>
      <w:r>
        <w:rPr>
          <w:rFonts w:hint="eastAsia" w:ascii="仿宋" w:hAnsi="仿宋" w:eastAsia="仿宋" w:cs="仿宋"/>
          <w:sz w:val="32"/>
          <w:szCs w:val="32"/>
        </w:rPr>
        <w:t>申请人</w:t>
      </w:r>
      <w:r>
        <w:rPr>
          <w:rFonts w:hint="eastAsia" w:ascii="仿宋" w:hAnsi="仿宋" w:eastAsia="仿宋" w:cs="仿宋"/>
          <w:sz w:val="32"/>
          <w:szCs w:val="32"/>
          <w:lang w:eastAsia="zh-CN"/>
        </w:rPr>
        <w:t>也可以</w:t>
      </w:r>
      <w:r>
        <w:rPr>
          <w:rFonts w:hint="eastAsia" w:ascii="仿宋" w:hAnsi="仿宋" w:eastAsia="仿宋" w:cs="仿宋"/>
          <w:sz w:val="32"/>
          <w:szCs w:val="32"/>
        </w:rPr>
        <w:t>到当地政务服务中心窗口领取</w:t>
      </w:r>
      <w:r>
        <w:rPr>
          <w:rFonts w:hint="eastAsia" w:ascii="仿宋" w:hAnsi="仿宋" w:eastAsia="仿宋" w:cs="仿宋"/>
          <w:sz w:val="32"/>
          <w:szCs w:val="32"/>
          <w:lang w:eastAsia="zh-CN"/>
        </w:rPr>
        <w:t>《特殊建设工程消防</w:t>
      </w:r>
      <w:r>
        <w:rPr>
          <w:rFonts w:hint="eastAsia" w:ascii="仿宋" w:hAnsi="仿宋" w:eastAsia="仿宋" w:cs="仿宋"/>
          <w:sz w:val="32"/>
          <w:szCs w:val="32"/>
          <w:lang w:val="en-US" w:eastAsia="zh-CN"/>
        </w:rPr>
        <w:t>设计审查</w:t>
      </w:r>
      <w:r>
        <w:rPr>
          <w:rFonts w:hint="eastAsia" w:ascii="仿宋" w:hAnsi="仿宋" w:eastAsia="仿宋" w:cs="仿宋"/>
          <w:sz w:val="32"/>
          <w:szCs w:val="32"/>
          <w:lang w:eastAsia="zh-CN"/>
        </w:rPr>
        <w:t>意见书》。</w:t>
      </w:r>
    </w:p>
    <w:p>
      <w:pPr>
        <w:numPr>
          <w:ilvl w:val="0"/>
          <w:numId w:val="0"/>
        </w:numPr>
        <w:ind w:left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十、办理时限</w:t>
      </w:r>
    </w:p>
    <w:p>
      <w:pPr>
        <w:spacing w:line="57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法定办结时限15个工作日，为</w:t>
      </w:r>
      <w:r>
        <w:rPr>
          <w:rFonts w:hint="eastAsia" w:ascii="仿宋_GB2312" w:hAnsi="仿宋_GB2312" w:eastAsia="仿宋_GB2312" w:cs="仿宋_GB2312"/>
          <w:sz w:val="32"/>
          <w:szCs w:val="32"/>
        </w:rPr>
        <w:t>进一步提高审批效率，</w:t>
      </w:r>
      <w:r>
        <w:rPr>
          <w:rFonts w:hint="eastAsia" w:ascii="仿宋" w:hAnsi="仿宋" w:eastAsia="仿宋" w:cs="仿宋"/>
          <w:sz w:val="32"/>
          <w:szCs w:val="32"/>
          <w:lang w:val="en-US" w:eastAsia="zh-CN"/>
        </w:rPr>
        <w:t>我市</w:t>
      </w:r>
      <w:r>
        <w:rPr>
          <w:rFonts w:hint="eastAsia" w:ascii="仿宋_GB2312" w:hAnsi="仿宋_GB2312" w:eastAsia="仿宋_GB2312" w:cs="仿宋_GB2312"/>
          <w:sz w:val="32"/>
          <w:szCs w:val="32"/>
        </w:rPr>
        <w:t>压缩为10个工作日</w:t>
      </w:r>
      <w:r>
        <w:rPr>
          <w:rFonts w:hint="eastAsia" w:ascii="仿宋" w:hAnsi="仿宋" w:eastAsia="仿宋" w:cs="仿宋"/>
          <w:sz w:val="32"/>
          <w:szCs w:val="32"/>
          <w:lang w:val="en-US" w:eastAsia="zh-CN"/>
        </w:rPr>
        <w:t>。</w:t>
      </w:r>
    </w:p>
    <w:p>
      <w:pPr>
        <w:spacing w:line="570" w:lineRule="exact"/>
        <w:ind w:firstLine="640" w:firstLineChars="200"/>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ZLAHcq-1">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30CE20"/>
    <w:multiLevelType w:val="singleLevel"/>
    <w:tmpl w:val="5E30CE20"/>
    <w:lvl w:ilvl="0" w:tentative="0">
      <w:start w:val="2"/>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22E86"/>
    <w:rsid w:val="027D29FB"/>
    <w:rsid w:val="02906739"/>
    <w:rsid w:val="03D42EBB"/>
    <w:rsid w:val="0513619D"/>
    <w:rsid w:val="06056263"/>
    <w:rsid w:val="071C418D"/>
    <w:rsid w:val="07874A33"/>
    <w:rsid w:val="08B80671"/>
    <w:rsid w:val="0A214F93"/>
    <w:rsid w:val="0CEE0C89"/>
    <w:rsid w:val="0DA101C2"/>
    <w:rsid w:val="0DF33282"/>
    <w:rsid w:val="0DF970E1"/>
    <w:rsid w:val="0F3C3D00"/>
    <w:rsid w:val="0F840B89"/>
    <w:rsid w:val="10A72CEB"/>
    <w:rsid w:val="11852E37"/>
    <w:rsid w:val="13F03D0C"/>
    <w:rsid w:val="151F0396"/>
    <w:rsid w:val="15811FCA"/>
    <w:rsid w:val="16C17756"/>
    <w:rsid w:val="19004F20"/>
    <w:rsid w:val="1B2B6907"/>
    <w:rsid w:val="1B4025BA"/>
    <w:rsid w:val="1D8B0D44"/>
    <w:rsid w:val="1E3C3764"/>
    <w:rsid w:val="1E8C4DC8"/>
    <w:rsid w:val="1F1402B0"/>
    <w:rsid w:val="1FB31EA9"/>
    <w:rsid w:val="1FC74C5A"/>
    <w:rsid w:val="202125ED"/>
    <w:rsid w:val="203D2D56"/>
    <w:rsid w:val="204E658A"/>
    <w:rsid w:val="224E5631"/>
    <w:rsid w:val="22D26C72"/>
    <w:rsid w:val="22ED54D6"/>
    <w:rsid w:val="233F5E49"/>
    <w:rsid w:val="24315D2B"/>
    <w:rsid w:val="25CC4491"/>
    <w:rsid w:val="28204E54"/>
    <w:rsid w:val="283E4EE1"/>
    <w:rsid w:val="288168AE"/>
    <w:rsid w:val="2AB20362"/>
    <w:rsid w:val="2B050BC8"/>
    <w:rsid w:val="2B1F5960"/>
    <w:rsid w:val="2BE533A8"/>
    <w:rsid w:val="30FB7A60"/>
    <w:rsid w:val="322D1227"/>
    <w:rsid w:val="32332129"/>
    <w:rsid w:val="323902A2"/>
    <w:rsid w:val="336842CA"/>
    <w:rsid w:val="344D1294"/>
    <w:rsid w:val="363C6A3D"/>
    <w:rsid w:val="38277AD5"/>
    <w:rsid w:val="393B5D90"/>
    <w:rsid w:val="39787B3D"/>
    <w:rsid w:val="3A046AE0"/>
    <w:rsid w:val="3AB67B00"/>
    <w:rsid w:val="3D0A0924"/>
    <w:rsid w:val="3D406AB4"/>
    <w:rsid w:val="3D645C3B"/>
    <w:rsid w:val="40A93E6F"/>
    <w:rsid w:val="4167369D"/>
    <w:rsid w:val="422352C4"/>
    <w:rsid w:val="429910DB"/>
    <w:rsid w:val="45E60152"/>
    <w:rsid w:val="482E03B8"/>
    <w:rsid w:val="49A247A5"/>
    <w:rsid w:val="4B3262F4"/>
    <w:rsid w:val="4B5B1930"/>
    <w:rsid w:val="4B680682"/>
    <w:rsid w:val="4D4D298A"/>
    <w:rsid w:val="4E337BBB"/>
    <w:rsid w:val="501F6257"/>
    <w:rsid w:val="515A3DB2"/>
    <w:rsid w:val="524B7C92"/>
    <w:rsid w:val="52917F22"/>
    <w:rsid w:val="53627D29"/>
    <w:rsid w:val="5371696B"/>
    <w:rsid w:val="542C4175"/>
    <w:rsid w:val="547814B6"/>
    <w:rsid w:val="55122507"/>
    <w:rsid w:val="55824F0E"/>
    <w:rsid w:val="55EC6276"/>
    <w:rsid w:val="57DB1DBB"/>
    <w:rsid w:val="5A0F3085"/>
    <w:rsid w:val="5AA30A6C"/>
    <w:rsid w:val="5AB37A78"/>
    <w:rsid w:val="5CF63DFF"/>
    <w:rsid w:val="5FB912C6"/>
    <w:rsid w:val="602E799D"/>
    <w:rsid w:val="6046628F"/>
    <w:rsid w:val="62437EEC"/>
    <w:rsid w:val="62D7365B"/>
    <w:rsid w:val="63191D33"/>
    <w:rsid w:val="639044F3"/>
    <w:rsid w:val="64755734"/>
    <w:rsid w:val="64C70E28"/>
    <w:rsid w:val="65232DDD"/>
    <w:rsid w:val="65C24E4A"/>
    <w:rsid w:val="66755DD2"/>
    <w:rsid w:val="681E4AD7"/>
    <w:rsid w:val="690E2099"/>
    <w:rsid w:val="6B3930BC"/>
    <w:rsid w:val="6B491332"/>
    <w:rsid w:val="6E1D29BA"/>
    <w:rsid w:val="6FAC4508"/>
    <w:rsid w:val="703E69BF"/>
    <w:rsid w:val="70B41819"/>
    <w:rsid w:val="71BD08B4"/>
    <w:rsid w:val="72D52CD8"/>
    <w:rsid w:val="73AE454C"/>
    <w:rsid w:val="73C90FB1"/>
    <w:rsid w:val="73CC6AE8"/>
    <w:rsid w:val="741F308F"/>
    <w:rsid w:val="76092910"/>
    <w:rsid w:val="790D52E1"/>
    <w:rsid w:val="7C11030B"/>
    <w:rsid w:val="7F37171A"/>
    <w:rsid w:val="7FBD1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市住房和城乡建设局</Company>
  <Pages>1</Pages>
  <Words>0</Words>
  <Characters>0</Characters>
  <Lines>0</Lines>
  <Paragraphs>0</Paragraphs>
  <TotalTime>1</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2020-11-02T07:09:00Z</dcterms:created>
  <dc:creator>沈鹏</dc:creator>
  <cp:lastModifiedBy>朱恒</cp:lastModifiedBy>
  <cp:lastPrinted>2022-05-19T06:48:00Z</cp:lastPrinted>
  <dcterms:modified xsi:type="dcterms:W3CDTF">2022-09-21T01:58:46Z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