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FA" w:rsidRDefault="00AA32FA" w:rsidP="00AA32FA">
      <w:pPr>
        <w:pStyle w:val="2"/>
        <w:numPr>
          <w:ilvl w:val="0"/>
          <w:numId w:val="0"/>
        </w:numPr>
        <w:jc w:val="left"/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</w:pPr>
      <w:r>
        <w:rPr>
          <w:rFonts w:ascii="黑体" w:eastAsia="黑体" w:hAnsi="黑体" w:cs="黑体" w:hint="eastAsia"/>
          <w:b w:val="0"/>
          <w:bCs w:val="0"/>
        </w:rPr>
        <w:t>附件1</w:t>
      </w:r>
    </w:p>
    <w:p w:rsidR="00AA32FA" w:rsidRDefault="00AA32FA" w:rsidP="00AA32FA">
      <w:pPr>
        <w:pStyle w:val="2"/>
        <w:numPr>
          <w:ilvl w:val="0"/>
          <w:numId w:val="0"/>
        </w:numPr>
        <w:jc w:val="center"/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>2021</w:t>
      </w:r>
      <w:r w:rsidR="009D1603"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>年农贸市场食用农产品快检工作监督评价指标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6240"/>
        <w:gridCol w:w="1068"/>
      </w:tblGrid>
      <w:tr w:rsidR="00AA32FA" w:rsidTr="00FB17FD">
        <w:trPr>
          <w:trHeight w:val="357"/>
          <w:tblHeader/>
          <w:jc w:val="center"/>
        </w:trPr>
        <w:tc>
          <w:tcPr>
            <w:tcW w:w="96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32FA" w:rsidRDefault="00AA32FA" w:rsidP="00FB17FD">
            <w:pPr>
              <w:jc w:val="left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市场名称：</w:t>
            </w: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 xml:space="preserve">                    </w:t>
            </w: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考核人：</w:t>
            </w: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 xml:space="preserve">                      </w:t>
            </w: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考核日期：</w:t>
            </w:r>
          </w:p>
        </w:tc>
      </w:tr>
      <w:tr w:rsidR="00AA32FA" w:rsidTr="00FB17FD">
        <w:trPr>
          <w:trHeight w:val="456"/>
          <w:tblHeader/>
          <w:jc w:val="center"/>
        </w:trPr>
        <w:tc>
          <w:tcPr>
            <w:tcW w:w="9603" w:type="dxa"/>
            <w:gridSpan w:val="3"/>
            <w:tcBorders>
              <w:top w:val="single" w:sz="4" w:space="0" w:color="auto"/>
            </w:tcBorders>
            <w:vAlign w:val="center"/>
          </w:tcPr>
          <w:p w:rsidR="00AA32FA" w:rsidRDefault="00AA32FA" w:rsidP="00FB17FD">
            <w:pPr>
              <w:spacing w:line="240" w:lineRule="exact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所属市（县、区）：</w:t>
            </w: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 xml:space="preserve">                 </w:t>
            </w: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监管部门□</w:t>
            </w: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 xml:space="preserve">                    </w:t>
            </w: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第三方□</w:t>
            </w:r>
          </w:p>
        </w:tc>
      </w:tr>
      <w:tr w:rsidR="00AA32FA" w:rsidTr="00FB17FD">
        <w:trPr>
          <w:trHeight w:val="357"/>
          <w:tblHeader/>
          <w:jc w:val="center"/>
        </w:trPr>
        <w:tc>
          <w:tcPr>
            <w:tcW w:w="2295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考核项目（分值）</w:t>
            </w: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考核内容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结果</w:t>
            </w:r>
            <w:r>
              <w:rPr>
                <w:rFonts w:ascii="仿宋" w:hAnsi="仿宋" w:cs="仿宋" w:hint="eastAsia"/>
                <w:sz w:val="21"/>
                <w:szCs w:val="21"/>
              </w:rPr>
              <w:t>/</w:t>
            </w:r>
          </w:p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得分</w:t>
            </w:r>
          </w:p>
        </w:tc>
      </w:tr>
      <w:tr w:rsidR="00AA32FA" w:rsidTr="00FB17FD">
        <w:trPr>
          <w:trHeight w:val="501"/>
          <w:jc w:val="center"/>
        </w:trPr>
        <w:tc>
          <w:tcPr>
            <w:tcW w:w="2295" w:type="dxa"/>
            <w:vMerge w:val="restart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否决项（</w:t>
            </w:r>
            <w:r>
              <w:rPr>
                <w:rFonts w:ascii="仿宋" w:hAnsi="仿宋" w:cs="仿宋" w:hint="eastAsia"/>
                <w:sz w:val="21"/>
                <w:szCs w:val="21"/>
              </w:rPr>
              <w:t>/</w:t>
            </w:r>
            <w:r>
              <w:rPr>
                <w:rFonts w:ascii="仿宋" w:hAnsi="仿宋" w:cs="仿宋" w:hint="eastAsia"/>
                <w:sz w:val="21"/>
                <w:szCs w:val="21"/>
              </w:rPr>
              <w:t>）</w:t>
            </w: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监管部门（县区局或镇街分局）是否签订快检试剂产品采购合同、第三</w:t>
            </w:r>
            <w:proofErr w:type="gramStart"/>
            <w:r>
              <w:rPr>
                <w:rFonts w:ascii="仿宋" w:hAnsi="仿宋" w:cs="仿宋" w:hint="eastAsia"/>
                <w:sz w:val="21"/>
                <w:szCs w:val="21"/>
              </w:rPr>
              <w:t>方服务</w:t>
            </w:r>
            <w:proofErr w:type="gramEnd"/>
            <w:r>
              <w:rPr>
                <w:rFonts w:ascii="仿宋" w:hAnsi="仿宋" w:cs="仿宋" w:hint="eastAsia"/>
                <w:sz w:val="21"/>
                <w:szCs w:val="21"/>
              </w:rPr>
              <w:t>机构委托合同等。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是□否□</w:t>
            </w:r>
          </w:p>
        </w:tc>
      </w:tr>
      <w:tr w:rsidR="00AA32FA" w:rsidTr="00FB17FD">
        <w:trPr>
          <w:trHeight w:val="467"/>
          <w:jc w:val="center"/>
        </w:trPr>
        <w:tc>
          <w:tcPr>
            <w:tcW w:w="2295" w:type="dxa"/>
            <w:vMerge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快检过程、数据和结果信息是否真实、可追溯。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是□否□</w:t>
            </w:r>
          </w:p>
        </w:tc>
      </w:tr>
      <w:tr w:rsidR="00AA32FA" w:rsidTr="00FB17FD">
        <w:trPr>
          <w:trHeight w:val="628"/>
          <w:jc w:val="center"/>
        </w:trPr>
        <w:tc>
          <w:tcPr>
            <w:tcW w:w="2295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快检制度建立（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建立相应的质量管理体系，制定抽样检测、设备管理、人员培训等制度和相关操作规程（</w:t>
            </w:r>
            <w:r>
              <w:rPr>
                <w:rFonts w:ascii="仿宋" w:hAnsi="仿宋" w:cs="仿宋" w:hint="eastAsia"/>
                <w:sz w:val="21"/>
                <w:szCs w:val="21"/>
              </w:rPr>
              <w:t>3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分）。是否执行相关制度和规程。（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2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 w:hint="eastAsia"/>
                <w:sz w:val="21"/>
                <w:szCs w:val="21"/>
              </w:rPr>
            </w:pPr>
          </w:p>
        </w:tc>
      </w:tr>
      <w:tr w:rsidR="00AA32FA" w:rsidTr="00FB17FD">
        <w:trPr>
          <w:trHeight w:val="387"/>
          <w:jc w:val="center"/>
        </w:trPr>
        <w:tc>
          <w:tcPr>
            <w:tcW w:w="2295" w:type="dxa"/>
            <w:vMerge w:val="restart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完成情况</w:t>
            </w:r>
          </w:p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（</w:t>
            </w:r>
            <w:r>
              <w:rPr>
                <w:rFonts w:ascii="仿宋" w:hAnsi="仿宋" w:cs="仿宋" w:hint="eastAsia"/>
                <w:sz w:val="21"/>
                <w:szCs w:val="21"/>
              </w:rPr>
              <w:t>40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快检操作人员是否经过岗前培训，并考核合格。（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87"/>
          <w:jc w:val="center"/>
        </w:trPr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是否按规定完成快检任务。（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10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87"/>
          <w:jc w:val="center"/>
        </w:trPr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是否集中完成快检任务量。（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87"/>
          <w:jc w:val="center"/>
        </w:trPr>
        <w:tc>
          <w:tcPr>
            <w:tcW w:w="2295" w:type="dxa"/>
            <w:vMerge/>
            <w:tcBorders>
              <w:right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快检检测项目开展情况。（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10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902"/>
          <w:jc w:val="center"/>
        </w:trPr>
        <w:tc>
          <w:tcPr>
            <w:tcW w:w="2295" w:type="dxa"/>
            <w:vMerge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6240" w:type="dxa"/>
            <w:tcBorders>
              <w:top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快检品种与检测项目是否匹配，重点品种筛查批次所占总</w:t>
            </w:r>
            <w:proofErr w:type="gramStart"/>
            <w:r>
              <w:rPr>
                <w:rFonts w:ascii="仿宋" w:hAnsi="仿宋" w:cs="仿宋" w:hint="eastAsia"/>
                <w:sz w:val="21"/>
                <w:szCs w:val="21"/>
              </w:rPr>
              <w:t>批次数</w:t>
            </w:r>
            <w:proofErr w:type="gramEnd"/>
            <w:r>
              <w:rPr>
                <w:rFonts w:ascii="仿宋" w:hAnsi="仿宋" w:cs="仿宋" w:hint="eastAsia"/>
                <w:sz w:val="21"/>
                <w:szCs w:val="21"/>
              </w:rPr>
              <w:t>比例不少于</w:t>
            </w:r>
            <w:r>
              <w:rPr>
                <w:rFonts w:ascii="仿宋" w:hAnsi="仿宋" w:cs="仿宋" w:hint="eastAsia"/>
                <w:sz w:val="21"/>
                <w:szCs w:val="21"/>
              </w:rPr>
              <w:t xml:space="preserve">50% </w:t>
            </w:r>
            <w:r>
              <w:rPr>
                <w:rFonts w:ascii="仿宋" w:hAnsi="仿宋" w:cs="仿宋" w:hint="eastAsia"/>
                <w:sz w:val="21"/>
                <w:szCs w:val="21"/>
              </w:rPr>
              <w:t>（见《</w:t>
            </w:r>
            <w:r>
              <w:rPr>
                <w:rFonts w:ascii="仿宋" w:hAnsi="仿宋" w:cs="仿宋" w:hint="eastAsia"/>
                <w:sz w:val="21"/>
                <w:szCs w:val="21"/>
              </w:rPr>
              <w:t>2021</w:t>
            </w:r>
            <w:r>
              <w:rPr>
                <w:rFonts w:ascii="仿宋" w:hAnsi="仿宋" w:cs="仿宋" w:hint="eastAsia"/>
                <w:sz w:val="21"/>
                <w:szCs w:val="21"/>
              </w:rPr>
              <w:t>年农贸市场快检项目适用范围及重点品种》）。（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57"/>
          <w:jc w:val="center"/>
        </w:trPr>
        <w:tc>
          <w:tcPr>
            <w:tcW w:w="2295" w:type="dxa"/>
            <w:vMerge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快检结果是否按要求及时公示、报送省智慧食药监平台。（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57"/>
          <w:jc w:val="center"/>
        </w:trPr>
        <w:tc>
          <w:tcPr>
            <w:tcW w:w="2295" w:type="dxa"/>
            <w:vMerge w:val="restart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抽样情况（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抽样过程是否规范、记录是否完整。（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2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57"/>
          <w:jc w:val="center"/>
        </w:trPr>
        <w:tc>
          <w:tcPr>
            <w:tcW w:w="2295" w:type="dxa"/>
            <w:vMerge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是否实现每月对市场内销售蔬菜、水产品的</w:t>
            </w:r>
            <w:proofErr w:type="gramStart"/>
            <w:r>
              <w:rPr>
                <w:rFonts w:ascii="仿宋" w:hAnsi="仿宋" w:cs="仿宋" w:hint="eastAsia"/>
                <w:sz w:val="21"/>
                <w:szCs w:val="21"/>
              </w:rPr>
              <w:t>经营户全覆盖</w:t>
            </w:r>
            <w:proofErr w:type="gramEnd"/>
            <w:r>
              <w:rPr>
                <w:rFonts w:ascii="仿宋" w:hAnsi="仿宋" w:cs="仿宋" w:hint="eastAsia"/>
                <w:sz w:val="21"/>
                <w:szCs w:val="21"/>
              </w:rPr>
              <w:t>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3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57"/>
          <w:jc w:val="center"/>
        </w:trPr>
        <w:tc>
          <w:tcPr>
            <w:tcW w:w="2295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原始记录（</w:t>
            </w:r>
            <w:r>
              <w:rPr>
                <w:rFonts w:ascii="仿宋" w:hAnsi="仿宋" w:cs="仿宋" w:hint="eastAsia"/>
                <w:sz w:val="21"/>
                <w:szCs w:val="21"/>
              </w:rPr>
              <w:t>10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随机抽取实验记录，检查原始记录规范性与可溯性。（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10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57"/>
          <w:jc w:val="center"/>
        </w:trPr>
        <w:tc>
          <w:tcPr>
            <w:tcW w:w="2295" w:type="dxa"/>
            <w:vMerge w:val="restart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后续处理（</w:t>
            </w:r>
            <w:r>
              <w:rPr>
                <w:rFonts w:ascii="仿宋" w:hAnsi="仿宋" w:cs="仿宋" w:hint="eastAsia"/>
                <w:sz w:val="21"/>
                <w:szCs w:val="21"/>
              </w:rPr>
              <w:t>15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是否处置快检不合格食用农产品。（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10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57"/>
          <w:jc w:val="center"/>
        </w:trPr>
        <w:tc>
          <w:tcPr>
            <w:tcW w:w="2295" w:type="dxa"/>
            <w:vMerge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是否开展跟踪式快检、是否追查责任，实现市场倒逼。（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57"/>
          <w:jc w:val="center"/>
        </w:trPr>
        <w:tc>
          <w:tcPr>
            <w:tcW w:w="2295" w:type="dxa"/>
            <w:vMerge w:val="restart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快检操作</w:t>
            </w:r>
          </w:p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（</w:t>
            </w:r>
            <w:r>
              <w:rPr>
                <w:rFonts w:ascii="仿宋" w:hAnsi="仿宋" w:cs="仿宋" w:hint="eastAsia"/>
                <w:sz w:val="21"/>
                <w:szCs w:val="21"/>
              </w:rPr>
              <w:t>10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每家农贸市场抽取</w:t>
            </w:r>
            <w:r>
              <w:rPr>
                <w:rFonts w:ascii="仿宋" w:hAnsi="仿宋" w:cs="仿宋" w:hint="eastAsia"/>
                <w:sz w:val="21"/>
                <w:szCs w:val="21"/>
              </w:rPr>
              <w:t>6-8</w:t>
            </w:r>
            <w:r>
              <w:rPr>
                <w:rFonts w:ascii="仿宋" w:hAnsi="仿宋" w:cs="仿宋" w:hint="eastAsia"/>
                <w:sz w:val="21"/>
                <w:szCs w:val="21"/>
              </w:rPr>
              <w:t>个考核样品，覆盖至少</w:t>
            </w:r>
            <w:r>
              <w:rPr>
                <w:rFonts w:ascii="仿宋" w:hAnsi="仿宋" w:cs="仿宋" w:hint="eastAsia"/>
                <w:sz w:val="21"/>
                <w:szCs w:val="21"/>
              </w:rPr>
              <w:t>2</w:t>
            </w:r>
            <w:r>
              <w:rPr>
                <w:rFonts w:ascii="仿宋" w:hAnsi="仿宋" w:cs="仿宋" w:hint="eastAsia"/>
                <w:sz w:val="21"/>
                <w:szCs w:val="21"/>
              </w:rPr>
              <w:t>个种类，检测项目由考核人员确定，由市场快检人员进行快检操作，考察快检人员是否能熟练开展快检操作。（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57"/>
          <w:jc w:val="center"/>
        </w:trPr>
        <w:tc>
          <w:tcPr>
            <w:tcW w:w="2295" w:type="dxa"/>
            <w:vMerge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由考核组提供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个盲样，由市场快检人员进行快检操作，对快检结果正确性进行判分。（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428"/>
          <w:jc w:val="center"/>
        </w:trPr>
        <w:tc>
          <w:tcPr>
            <w:tcW w:w="2295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快检产品管理（</w:t>
            </w:r>
            <w:r>
              <w:rPr>
                <w:rFonts w:ascii="仿宋" w:hAnsi="仿宋" w:cs="仿宋" w:hint="eastAsia"/>
                <w:sz w:val="21"/>
                <w:szCs w:val="21"/>
              </w:rPr>
              <w:t>10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是否按使用要求开展质量控制试验。（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分）快检试剂出</w:t>
            </w:r>
            <w:proofErr w:type="gramStart"/>
            <w:r>
              <w:rPr>
                <w:rFonts w:ascii="仿宋" w:hAnsi="仿宋" w:cs="仿宋" w:hint="eastAsia"/>
                <w:sz w:val="21"/>
                <w:szCs w:val="21"/>
              </w:rPr>
              <w:t>入库台账及</w:t>
            </w:r>
            <w:proofErr w:type="gramEnd"/>
            <w:r>
              <w:rPr>
                <w:rFonts w:ascii="仿宋" w:hAnsi="仿宋" w:cs="仿宋" w:hint="eastAsia"/>
                <w:sz w:val="21"/>
                <w:szCs w:val="21"/>
              </w:rPr>
              <w:t>存储情况。（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428"/>
          <w:jc w:val="center"/>
        </w:trPr>
        <w:tc>
          <w:tcPr>
            <w:tcW w:w="2295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快检设备管理（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  <w:r>
              <w:rPr>
                <w:rFonts w:ascii="仿宋" w:hAnsi="仿宋" w:cs="仿宋" w:hint="eastAsia"/>
                <w:sz w:val="21"/>
                <w:szCs w:val="21"/>
              </w:rPr>
              <w:t xml:space="preserve"> </w:t>
            </w: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检测设备是否正常工作，是否配备与所开展的快检项目相适应的辅助设备。（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3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分）是否定期对检测设备、</w:t>
            </w:r>
            <w:proofErr w:type="gramStart"/>
            <w:r>
              <w:rPr>
                <w:rFonts w:ascii="仿宋" w:hAnsi="仿宋" w:cs="仿宋" w:hint="eastAsia"/>
                <w:sz w:val="21"/>
                <w:szCs w:val="21"/>
              </w:rPr>
              <w:t>移液枪</w:t>
            </w:r>
            <w:proofErr w:type="gramEnd"/>
            <w:r>
              <w:rPr>
                <w:rFonts w:ascii="仿宋" w:hAnsi="仿宋" w:cs="仿宋" w:hint="eastAsia"/>
                <w:sz w:val="21"/>
                <w:szCs w:val="21"/>
              </w:rPr>
              <w:t>、水浴锅等设备进行校准。（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2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57"/>
          <w:jc w:val="center"/>
        </w:trPr>
        <w:tc>
          <w:tcPr>
            <w:tcW w:w="2295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加减分项（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核查考核市场的年问题样品发现率。（</w:t>
            </w:r>
            <w:r>
              <w:rPr>
                <w:rFonts w:ascii="仿宋" w:hAnsi="仿宋" w:cs="仿宋" w:hint="eastAsia"/>
                <w:sz w:val="21"/>
                <w:szCs w:val="21"/>
              </w:rPr>
              <w:t>5</w:t>
            </w:r>
            <w:r>
              <w:rPr>
                <w:rFonts w:ascii="仿宋" w:hAnsi="仿宋" w:cs="仿宋" w:hint="eastAsia"/>
                <w:sz w:val="21"/>
                <w:szCs w:val="21"/>
              </w:rPr>
              <w:t>分）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</w:p>
        </w:tc>
      </w:tr>
      <w:tr w:rsidR="00AA32FA" w:rsidTr="00FB17FD">
        <w:trPr>
          <w:trHeight w:val="357"/>
          <w:jc w:val="center"/>
        </w:trPr>
        <w:tc>
          <w:tcPr>
            <w:tcW w:w="2295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年度考核结果</w:t>
            </w:r>
          </w:p>
        </w:tc>
        <w:tc>
          <w:tcPr>
            <w:tcW w:w="6240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现场考核结果</w:t>
            </w:r>
            <w:r>
              <w:rPr>
                <w:rFonts w:ascii="仿宋" w:hAnsi="仿宋" w:cs="仿宋" w:hint="eastAsia"/>
                <w:sz w:val="21"/>
                <w:szCs w:val="21"/>
              </w:rPr>
              <w:t xml:space="preserve"> + </w:t>
            </w:r>
            <w:r>
              <w:rPr>
                <w:rFonts w:ascii="仿宋" w:hAnsi="仿宋" w:cs="仿宋" w:hint="eastAsia"/>
                <w:sz w:val="21"/>
                <w:szCs w:val="21"/>
              </w:rPr>
              <w:t>加减分项</w:t>
            </w:r>
            <w:r>
              <w:rPr>
                <w:rFonts w:ascii="仿宋" w:hAnsi="仿宋" w:cs="仿宋" w:hint="eastAsia"/>
                <w:sz w:val="21"/>
                <w:szCs w:val="21"/>
              </w:rPr>
              <w:t xml:space="preserve"> </w:t>
            </w:r>
          </w:p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优</w:t>
            </w:r>
            <w:r>
              <w:rPr>
                <w:rFonts w:ascii="仿宋" w:hAnsi="仿宋" w:cs="仿宋" w:hint="eastAsia"/>
                <w:sz w:val="21"/>
                <w:szCs w:val="21"/>
              </w:rPr>
              <w:t>(90</w:t>
            </w:r>
            <w:r>
              <w:rPr>
                <w:rFonts w:ascii="仿宋" w:hAnsi="仿宋" w:cs="仿宋" w:hint="eastAsia"/>
                <w:sz w:val="21"/>
                <w:szCs w:val="21"/>
              </w:rPr>
              <w:t>分及以上</w:t>
            </w:r>
            <w:r>
              <w:rPr>
                <w:rFonts w:ascii="仿宋" w:hAnsi="仿宋" w:cs="仿宋" w:hint="eastAsia"/>
                <w:sz w:val="21"/>
                <w:szCs w:val="21"/>
              </w:rPr>
              <w:t>)</w:t>
            </w:r>
            <w:r>
              <w:rPr>
                <w:rFonts w:ascii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hAnsi="仿宋" w:cs="仿宋" w:hint="eastAsia"/>
                <w:sz w:val="21"/>
                <w:szCs w:val="21"/>
              </w:rPr>
              <w:t xml:space="preserve">              </w:t>
            </w:r>
            <w:r>
              <w:rPr>
                <w:rFonts w:ascii="仿宋" w:hAnsi="仿宋" w:cs="仿宋" w:hint="eastAsia"/>
                <w:sz w:val="21"/>
                <w:szCs w:val="21"/>
              </w:rPr>
              <w:t>良</w:t>
            </w:r>
            <w:r>
              <w:rPr>
                <w:rFonts w:ascii="仿宋" w:hAnsi="仿宋" w:cs="仿宋" w:hint="eastAsia"/>
                <w:sz w:val="21"/>
                <w:szCs w:val="21"/>
              </w:rPr>
              <w:t>(80-90</w:t>
            </w:r>
            <w:r>
              <w:rPr>
                <w:rFonts w:ascii="仿宋" w:hAnsi="仿宋" w:cs="仿宋" w:hint="eastAsia"/>
                <w:sz w:val="21"/>
                <w:szCs w:val="21"/>
              </w:rPr>
              <w:t>分</w:t>
            </w:r>
            <w:r>
              <w:rPr>
                <w:rFonts w:ascii="仿宋" w:hAnsi="仿宋" w:cs="仿宋" w:hint="eastAsia"/>
                <w:sz w:val="21"/>
                <w:szCs w:val="21"/>
              </w:rPr>
              <w:t>)</w:t>
            </w:r>
            <w:r>
              <w:rPr>
                <w:rFonts w:ascii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hAnsi="仿宋" w:cs="仿宋" w:hint="eastAsia"/>
                <w:sz w:val="21"/>
                <w:szCs w:val="21"/>
              </w:rPr>
              <w:t xml:space="preserve"> </w:t>
            </w:r>
          </w:p>
          <w:p w:rsidR="00AA32FA" w:rsidRDefault="00AA32FA" w:rsidP="00FB17FD">
            <w:pPr>
              <w:adjustRightInd w:val="0"/>
              <w:snapToGrid w:val="0"/>
              <w:spacing w:line="260" w:lineRule="exact"/>
              <w:jc w:val="left"/>
              <w:rPr>
                <w:rFonts w:ascii="仿宋" w:hAnsi="仿宋" w:cs="仿宋"/>
                <w:sz w:val="21"/>
                <w:szCs w:val="21"/>
              </w:rPr>
            </w:pPr>
            <w:r>
              <w:rPr>
                <w:rFonts w:ascii="仿宋" w:hAnsi="仿宋" w:cs="仿宋" w:hint="eastAsia"/>
                <w:sz w:val="21"/>
                <w:szCs w:val="21"/>
              </w:rPr>
              <w:t>中</w:t>
            </w:r>
            <w:r>
              <w:rPr>
                <w:rFonts w:ascii="仿宋" w:hAnsi="仿宋" w:cs="仿宋" w:hint="eastAsia"/>
                <w:sz w:val="21"/>
                <w:szCs w:val="21"/>
              </w:rPr>
              <w:t>(70-80</w:t>
            </w:r>
            <w:r>
              <w:rPr>
                <w:rFonts w:ascii="仿宋" w:hAnsi="仿宋" w:cs="仿宋" w:hint="eastAsia"/>
                <w:sz w:val="21"/>
                <w:szCs w:val="21"/>
              </w:rPr>
              <w:t>分</w:t>
            </w:r>
            <w:r>
              <w:rPr>
                <w:rFonts w:ascii="仿宋" w:hAnsi="仿宋" w:cs="仿宋" w:hint="eastAsia"/>
                <w:sz w:val="21"/>
                <w:szCs w:val="21"/>
              </w:rPr>
              <w:t>)</w:t>
            </w:r>
            <w:r>
              <w:rPr>
                <w:rFonts w:ascii="仿宋" w:hAnsi="仿宋" w:cs="仿宋" w:hint="eastAsia"/>
                <w:sz w:val="21"/>
                <w:szCs w:val="21"/>
              </w:rPr>
              <w:t>□</w:t>
            </w:r>
            <w:r>
              <w:rPr>
                <w:rFonts w:ascii="仿宋" w:hAnsi="仿宋" w:cs="仿宋" w:hint="eastAsia"/>
                <w:sz w:val="21"/>
                <w:szCs w:val="21"/>
              </w:rPr>
              <w:t xml:space="preserve">                 </w:t>
            </w:r>
            <w:r>
              <w:rPr>
                <w:rFonts w:ascii="仿宋" w:hAnsi="仿宋" w:cs="仿宋" w:hint="eastAsia"/>
                <w:sz w:val="21"/>
                <w:szCs w:val="21"/>
              </w:rPr>
              <w:t>差</w:t>
            </w:r>
            <w:r>
              <w:rPr>
                <w:rFonts w:ascii="仿宋" w:hAnsi="仿宋" w:cs="仿宋" w:hint="eastAsia"/>
                <w:sz w:val="21"/>
                <w:szCs w:val="21"/>
              </w:rPr>
              <w:t>(70</w:t>
            </w:r>
            <w:r>
              <w:rPr>
                <w:rFonts w:ascii="仿宋" w:hAnsi="仿宋" w:cs="仿宋" w:hint="eastAsia"/>
                <w:sz w:val="21"/>
                <w:szCs w:val="21"/>
              </w:rPr>
              <w:t>分以下</w:t>
            </w:r>
            <w:r>
              <w:rPr>
                <w:rFonts w:ascii="仿宋" w:hAnsi="仿宋" w:cs="仿宋" w:hint="eastAsia"/>
                <w:sz w:val="21"/>
                <w:szCs w:val="21"/>
              </w:rPr>
              <w:t>)</w:t>
            </w:r>
            <w:r>
              <w:rPr>
                <w:rFonts w:ascii="仿宋" w:hAnsi="仿宋" w:cs="仿宋" w:hint="eastAsia"/>
                <w:sz w:val="21"/>
                <w:szCs w:val="21"/>
              </w:rPr>
              <w:t>□</w:t>
            </w:r>
          </w:p>
        </w:tc>
        <w:tc>
          <w:tcPr>
            <w:tcW w:w="1068" w:type="dxa"/>
            <w:vAlign w:val="center"/>
          </w:tcPr>
          <w:p w:rsidR="00AA32FA" w:rsidRDefault="00AA32FA" w:rsidP="00FB17FD">
            <w:pPr>
              <w:adjustRightInd w:val="0"/>
              <w:snapToGrid w:val="0"/>
              <w:spacing w:line="240" w:lineRule="exact"/>
              <w:rPr>
                <w:rFonts w:ascii="仿宋" w:hAnsi="仿宋" w:cs="仿宋"/>
                <w:sz w:val="21"/>
                <w:szCs w:val="21"/>
              </w:rPr>
            </w:pPr>
          </w:p>
        </w:tc>
      </w:tr>
    </w:tbl>
    <w:p w:rsidR="00AA32FA" w:rsidRDefault="00AA32FA" w:rsidP="00AA32FA">
      <w:pPr>
        <w:bidi/>
        <w:jc w:val="right"/>
        <w:rPr>
          <w:rFonts w:ascii="仿宋" w:hAnsi="仿宋" w:cs="仿宋"/>
        </w:rPr>
      </w:pPr>
      <w:r>
        <w:rPr>
          <w:rFonts w:ascii="仿宋" w:hAnsi="仿宋" w:cs="仿宋" w:hint="eastAsia"/>
          <w:bCs/>
          <w:sz w:val="22"/>
          <w:szCs w:val="28"/>
        </w:rPr>
        <w:t>备注：存在否决项时，请及时向市</w:t>
      </w:r>
      <w:r>
        <w:rPr>
          <w:rFonts w:ascii="仿宋" w:hAnsi="仿宋" w:cs="仿宋" w:hint="eastAsia"/>
          <w:bCs/>
          <w:sz w:val="22"/>
          <w:szCs w:val="28"/>
        </w:rPr>
        <w:t>局食品经营</w:t>
      </w:r>
      <w:r>
        <w:rPr>
          <w:rFonts w:ascii="仿宋" w:hAnsi="仿宋" w:cs="仿宋" w:hint="eastAsia"/>
          <w:bCs/>
          <w:sz w:val="22"/>
          <w:szCs w:val="28"/>
        </w:rPr>
        <w:t>科</w:t>
      </w:r>
      <w:r>
        <w:rPr>
          <w:rFonts w:ascii="仿宋" w:hAnsi="仿宋" w:cs="仿宋" w:hint="eastAsia"/>
          <w:bCs/>
          <w:sz w:val="22"/>
          <w:szCs w:val="28"/>
        </w:rPr>
        <w:t>报告。</w:t>
      </w:r>
    </w:p>
    <w:p w:rsidR="00AE259D" w:rsidRPr="00AA32FA" w:rsidRDefault="00AE259D"/>
    <w:sectPr w:rsidR="00AE259D" w:rsidRPr="00AA3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253" w:rsidRDefault="004E6253" w:rsidP="00AA32FA">
      <w:r>
        <w:separator/>
      </w:r>
    </w:p>
  </w:endnote>
  <w:endnote w:type="continuationSeparator" w:id="0">
    <w:p w:rsidR="004E6253" w:rsidRDefault="004E6253" w:rsidP="00AA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253" w:rsidRDefault="004E6253" w:rsidP="00AA32FA">
      <w:r>
        <w:separator/>
      </w:r>
    </w:p>
  </w:footnote>
  <w:footnote w:type="continuationSeparator" w:id="0">
    <w:p w:rsidR="004E6253" w:rsidRDefault="004E6253" w:rsidP="00AA3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05C"/>
    <w:multiLevelType w:val="multilevel"/>
    <w:tmpl w:val="16F5605C"/>
    <w:lvl w:ilvl="0">
      <w:start w:val="1"/>
      <w:numFmt w:val="ideographDigit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6D"/>
    <w:rsid w:val="004E6253"/>
    <w:rsid w:val="009D1603"/>
    <w:rsid w:val="00A2196D"/>
    <w:rsid w:val="00AA32FA"/>
    <w:rsid w:val="00A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F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qFormat/>
    <w:rsid w:val="00AA32FA"/>
    <w:pPr>
      <w:keepNext/>
      <w:keepLines/>
      <w:numPr>
        <w:numId w:val="2"/>
      </w:numPr>
      <w:tabs>
        <w:tab w:val="left" w:pos="930"/>
      </w:tabs>
      <w:outlineLvl w:val="1"/>
    </w:pPr>
    <w:rPr>
      <w:rFonts w:ascii="Arial" w:eastAsia="楷体_GB2312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2FA"/>
    <w:rPr>
      <w:sz w:val="18"/>
      <w:szCs w:val="18"/>
    </w:rPr>
  </w:style>
  <w:style w:type="character" w:customStyle="1" w:styleId="2Char">
    <w:name w:val="标题 2 Char"/>
    <w:basedOn w:val="a0"/>
    <w:link w:val="2"/>
    <w:rsid w:val="00AA32FA"/>
    <w:rPr>
      <w:rFonts w:ascii="Arial" w:eastAsia="楷体_GB2312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F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2">
    <w:name w:val="heading 2"/>
    <w:basedOn w:val="a"/>
    <w:next w:val="a"/>
    <w:link w:val="2Char"/>
    <w:qFormat/>
    <w:rsid w:val="00AA32FA"/>
    <w:pPr>
      <w:keepNext/>
      <w:keepLines/>
      <w:numPr>
        <w:numId w:val="2"/>
      </w:numPr>
      <w:tabs>
        <w:tab w:val="left" w:pos="930"/>
      </w:tabs>
      <w:outlineLvl w:val="1"/>
    </w:pPr>
    <w:rPr>
      <w:rFonts w:ascii="Arial" w:eastAsia="楷体_GB2312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2FA"/>
    <w:rPr>
      <w:sz w:val="18"/>
      <w:szCs w:val="18"/>
    </w:rPr>
  </w:style>
  <w:style w:type="character" w:customStyle="1" w:styleId="2Char">
    <w:name w:val="标题 2 Char"/>
    <w:basedOn w:val="a0"/>
    <w:link w:val="2"/>
    <w:rsid w:val="00AA32FA"/>
    <w:rPr>
      <w:rFonts w:ascii="Arial" w:eastAsia="楷体_GB2312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>Chinese ORG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张捷兴</dc:creator>
  <cp:lastModifiedBy>张捷兴</cp:lastModifiedBy>
  <cp:revision>3</cp:revision>
  <dcterms:created xsi:type="dcterms:W3CDTF">2021-08-03T03:09:00Z</dcterms:created>
  <dcterms:modified xsi:type="dcterms:W3CDTF">2021-08-03T03:09:00Z</dcterms:modified>
</cp:coreProperties>
</file>