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27D" w:rsidRDefault="00DB427D" w:rsidP="00DB427D">
      <w:pPr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</w:p>
    <w:tbl>
      <w:tblPr>
        <w:tblW w:w="15168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1344"/>
        <w:gridCol w:w="2033"/>
        <w:gridCol w:w="1133"/>
        <w:gridCol w:w="9332"/>
        <w:gridCol w:w="1326"/>
      </w:tblGrid>
      <w:tr w:rsidR="00DB427D" w:rsidTr="00C83A9D">
        <w:trPr>
          <w:trHeight w:val="660"/>
        </w:trPr>
        <w:tc>
          <w:tcPr>
            <w:tcW w:w="1516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427D" w:rsidRDefault="00E37125" w:rsidP="00E37125">
            <w:pPr>
              <w:spacing w:line="560" w:lineRule="exact"/>
              <w:jc w:val="center"/>
              <w:rPr>
                <w:rFonts w:ascii="华文中宋" w:eastAsia="华文中宋" w:hAnsi="华文中宋" w:cs="方正小标宋简体"/>
                <w:b/>
                <w:sz w:val="44"/>
                <w:szCs w:val="44"/>
              </w:rPr>
            </w:pPr>
            <w:r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江门市药品医疗器械</w:t>
            </w:r>
            <w:r w:rsidR="005564D0"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突发事件</w:t>
            </w:r>
            <w:r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应急演练服务</w:t>
            </w:r>
            <w:r w:rsidR="00DB427D">
              <w:rPr>
                <w:rFonts w:ascii="华文中宋" w:eastAsia="华文中宋" w:hAnsi="华文中宋" w:cs="方正小标宋简体" w:hint="eastAsia"/>
                <w:b/>
                <w:sz w:val="44"/>
                <w:szCs w:val="44"/>
              </w:rPr>
              <w:t>项目</w:t>
            </w:r>
            <w:r w:rsidR="00DB427D">
              <w:rPr>
                <w:rFonts w:ascii="华文中宋" w:eastAsia="华文中宋" w:hAnsi="华文中宋" w:cs="方正小标宋简体" w:hint="eastAsia"/>
                <w:b/>
                <w:bCs/>
                <w:kern w:val="0"/>
                <w:sz w:val="44"/>
                <w:szCs w:val="44"/>
              </w:rPr>
              <w:t>招标综合评审表</w:t>
            </w:r>
          </w:p>
        </w:tc>
      </w:tr>
      <w:tr w:rsidR="00DB427D" w:rsidTr="00C83A9D">
        <w:trPr>
          <w:trHeight w:val="435"/>
        </w:trPr>
        <w:tc>
          <w:tcPr>
            <w:tcW w:w="138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14CC" w:rsidRPr="00F114CC" w:rsidRDefault="00F114CC" w:rsidP="006A0F4F">
            <w:pPr>
              <w:pStyle w:val="2"/>
              <w:ind w:leftChars="0" w:left="0" w:firstLineChars="0" w:firstLine="0"/>
            </w:pP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427D" w:rsidRDefault="00DB427D" w:rsidP="001D0FCE">
            <w:pPr>
              <w:widowControl/>
              <w:spacing w:line="400" w:lineRule="exac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DB427D" w:rsidTr="00C83A9D">
        <w:trPr>
          <w:trHeight w:val="726"/>
        </w:trPr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D168F8" w:rsidRDefault="00DB427D" w:rsidP="001D0FCE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1"/>
                <w:szCs w:val="21"/>
              </w:rPr>
            </w:pPr>
            <w:r w:rsidRPr="00D168F8">
              <w:rPr>
                <w:rFonts w:ascii="华文中宋" w:eastAsia="华文中宋" w:hAnsi="华文中宋" w:hint="eastAsia"/>
                <w:kern w:val="0"/>
                <w:sz w:val="21"/>
                <w:szCs w:val="21"/>
              </w:rPr>
              <w:t>评审项目分值(可自定)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D168F8" w:rsidRDefault="00DB427D" w:rsidP="001D0FCE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1"/>
                <w:szCs w:val="21"/>
              </w:rPr>
            </w:pPr>
            <w:r w:rsidRPr="00D168F8">
              <w:rPr>
                <w:rFonts w:ascii="华文中宋" w:eastAsia="华文中宋" w:hAnsi="华文中宋" w:hint="eastAsia"/>
                <w:kern w:val="0"/>
                <w:sz w:val="21"/>
                <w:szCs w:val="21"/>
              </w:rPr>
              <w:t>分值</w:t>
            </w:r>
            <w:r w:rsidRPr="00D168F8">
              <w:rPr>
                <w:rFonts w:ascii="华文中宋" w:eastAsia="华文中宋" w:hAnsi="华文中宋"/>
                <w:kern w:val="0"/>
                <w:sz w:val="21"/>
                <w:szCs w:val="21"/>
              </w:rPr>
              <w:br/>
            </w:r>
            <w:r w:rsidRPr="00D168F8">
              <w:rPr>
                <w:rFonts w:ascii="华文中宋" w:eastAsia="华文中宋" w:hAnsi="华文中宋" w:hint="eastAsia"/>
                <w:kern w:val="0"/>
                <w:sz w:val="21"/>
                <w:szCs w:val="21"/>
              </w:rPr>
              <w:t>(可自定)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D168F8" w:rsidRDefault="00DB427D" w:rsidP="001D0FCE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1"/>
                <w:szCs w:val="21"/>
              </w:rPr>
            </w:pPr>
            <w:r w:rsidRPr="00D168F8">
              <w:rPr>
                <w:rFonts w:ascii="华文中宋" w:eastAsia="华文中宋" w:hAnsi="华文中宋" w:hint="eastAsia"/>
                <w:kern w:val="0"/>
                <w:sz w:val="21"/>
                <w:szCs w:val="21"/>
              </w:rPr>
              <w:t>评审标准分值(可自定)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widowControl/>
              <w:spacing w:line="360" w:lineRule="exact"/>
              <w:jc w:val="center"/>
              <w:rPr>
                <w:rFonts w:ascii="华文中宋" w:eastAsia="华文中宋" w:hAnsi="华文中宋"/>
                <w:kern w:val="0"/>
                <w:sz w:val="24"/>
              </w:rPr>
            </w:pPr>
            <w:r>
              <w:rPr>
                <w:rFonts w:ascii="华文中宋" w:eastAsia="华文中宋" w:hAnsi="华文中宋" w:hint="eastAsia"/>
                <w:kern w:val="0"/>
                <w:sz w:val="24"/>
              </w:rPr>
              <w:t>得分</w:t>
            </w:r>
          </w:p>
        </w:tc>
      </w:tr>
      <w:tr w:rsidR="00DB427D" w:rsidTr="00C83A9D">
        <w:trPr>
          <w:trHeight w:val="567"/>
        </w:trPr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投标报价</w:t>
            </w:r>
          </w:p>
          <w:p w:rsidR="00DB427D" w:rsidRPr="00C83A9D" w:rsidRDefault="00DB427D" w:rsidP="00DB427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（权重10%）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投标报价得分=(评标基准价/投标报价) ×10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B427D" w:rsidTr="00C83A9D">
        <w:trPr>
          <w:trHeight w:val="567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技术部分</w:t>
            </w:r>
          </w:p>
          <w:p w:rsidR="00DB427D" w:rsidRPr="00C83A9D" w:rsidRDefault="00DB427D" w:rsidP="00DB427D">
            <w:pPr>
              <w:pStyle w:val="2"/>
              <w:ind w:leftChars="0" w:left="0"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DB427D" w:rsidRPr="00C83A9D" w:rsidRDefault="00DB427D" w:rsidP="00DB427D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（权重50%）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27D" w:rsidRPr="00C83A9D" w:rsidRDefault="00DB427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认知程度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C83A9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8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427D" w:rsidRPr="00C83A9D" w:rsidRDefault="00DB427D" w:rsidP="00DB427D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对项目涉及的领域功能演练研究情况熟悉，优缺点分析到位，理解客观准确，对各供应商进行横向比较：</w:t>
            </w:r>
          </w:p>
          <w:p w:rsidR="00DB427D" w:rsidRPr="00C83A9D" w:rsidRDefault="00DB427D" w:rsidP="00C83A9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分值：优：</w:t>
            </w:r>
            <w:r w:rsidR="00C83A9D"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8</w:t>
            </w: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分；良：</w:t>
            </w:r>
            <w:r w:rsidR="00C83A9D"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5</w:t>
            </w: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分 ；差：0分。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B427D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27D" w:rsidRPr="00C83A9D" w:rsidRDefault="00DB427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物料设计方案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B427D" w:rsidRPr="00C83A9D" w:rsidRDefault="00DB427D" w:rsidP="00DB427D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根据投标项目现场执行宣传方案设计整套：展板、喷绘、宣传册、设计稿等且提供案例图或设计效果图，对各供应商进行横向比较：</w:t>
            </w:r>
          </w:p>
          <w:p w:rsidR="00DB427D" w:rsidRPr="00C83A9D" w:rsidRDefault="00DB427D" w:rsidP="00DB427D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分值：优：5分；良：3分 ；差：0分。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  <w:p w:rsidR="00DB427D" w:rsidRDefault="00DB427D" w:rsidP="001D0FCE">
            <w:pPr>
              <w:widowControl/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B427D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68F8" w:rsidRPr="00C83A9D" w:rsidRDefault="00D168F8" w:rsidP="00D168F8">
            <w:pPr>
              <w:snapToGrid w:val="0"/>
              <w:spacing w:line="400" w:lineRule="exact"/>
              <w:ind w:firstLineChars="50" w:firstLine="105"/>
              <w:jc w:val="center"/>
              <w:rPr>
                <w:rFonts w:asciiTheme="minorEastAsia" w:eastAsiaTheme="minorEastAsia" w:hAnsiTheme="minorEastAsia" w:cstheme="minorEastAsia"/>
                <w:bCs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应急演练</w:t>
            </w:r>
          </w:p>
          <w:p w:rsidR="00DB427D" w:rsidRPr="00C83A9D" w:rsidRDefault="00D168F8" w:rsidP="00D168F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bCs/>
                <w:sz w:val="21"/>
                <w:szCs w:val="21"/>
              </w:rPr>
              <w:t>方案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168F8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68F8" w:rsidRPr="00C83A9D" w:rsidRDefault="00D168F8" w:rsidP="00D168F8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根据投标执行及方案要体现药品医疗器械应急演练项目的特色，体现效率、部门配合度、时效性等亮点和特色，内容要有传播力和影响力。</w:t>
            </w:r>
          </w:p>
          <w:p w:rsidR="00D168F8" w:rsidRPr="00C83A9D" w:rsidRDefault="00D168F8" w:rsidP="00D168F8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服务方案详细、科学、合理、可行度高、突发事件处理及应急预案详尽、具体、可行性强的</w:t>
            </w:r>
            <w:proofErr w:type="gramStart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为优得10分</w:t>
            </w:r>
            <w:proofErr w:type="gramEnd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；</w:t>
            </w:r>
          </w:p>
          <w:p w:rsidR="00D168F8" w:rsidRPr="00C83A9D" w:rsidRDefault="00D168F8" w:rsidP="00D168F8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服务方案较详细、较合理，可行度较好、突发事件处理及应急预案基本详尽、具体、可行性较强的</w:t>
            </w:r>
            <w:proofErr w:type="gramStart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为良得7分</w:t>
            </w:r>
            <w:proofErr w:type="gramEnd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 xml:space="preserve">；   </w:t>
            </w:r>
          </w:p>
          <w:p w:rsidR="00D168F8" w:rsidRPr="00C83A9D" w:rsidRDefault="00D168F8" w:rsidP="00D168F8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服务方案合理性一般，可行度一般、突发事件处理及应急预案的内容及可行性一般的得4分；</w:t>
            </w:r>
          </w:p>
          <w:p w:rsidR="00DB427D" w:rsidRPr="00C83A9D" w:rsidRDefault="00D168F8" w:rsidP="00D168F8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服务方案</w:t>
            </w:r>
            <w:proofErr w:type="gramStart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描述较</w:t>
            </w:r>
            <w:proofErr w:type="gramEnd"/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简单的，可行度较差、突发事件处理及应急预案不详尽、可行性差的得1分。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B427D" w:rsidTr="00C83A9D">
        <w:trPr>
          <w:trHeight w:val="567"/>
        </w:trPr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B427D" w:rsidRPr="00C83A9D" w:rsidRDefault="00D168F8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业绩案例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168F8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30</w:t>
            </w:r>
          </w:p>
        </w:tc>
        <w:tc>
          <w:tcPr>
            <w:tcW w:w="9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D168F8" w:rsidRPr="00C83A9D" w:rsidRDefault="00D168F8" w:rsidP="00D168F8">
            <w:pPr>
              <w:pStyle w:val="HTML"/>
              <w:widowControl/>
              <w:spacing w:line="400" w:lineRule="exact"/>
              <w:rPr>
                <w:rFonts w:asciiTheme="minorEastAsia" w:eastAsiaTheme="minorEastAsia" w:hAnsiTheme="minorEastAsia" w:cstheme="minorEastAsia" w:hint="default"/>
                <w:bCs/>
                <w:kern w:val="2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/>
                <w:bCs/>
                <w:kern w:val="2"/>
                <w:sz w:val="21"/>
                <w:szCs w:val="21"/>
              </w:rPr>
              <w:t>供应商近3年内完成过同类食品药品应急演练项目，完成一个县级应急演练得2分，市级应急演练</w:t>
            </w:r>
            <w:r w:rsidRPr="00C83A9D">
              <w:rPr>
                <w:rFonts w:asciiTheme="minorEastAsia" w:eastAsiaTheme="minorEastAsia" w:hAnsiTheme="minorEastAsia" w:cstheme="minorEastAsia"/>
                <w:bCs/>
                <w:kern w:val="2"/>
                <w:sz w:val="21"/>
                <w:szCs w:val="21"/>
              </w:rPr>
              <w:lastRenderedPageBreak/>
              <w:t>得5分，省级应急演练（含市级部门举办的省示范性应急演练）得10分，满分30分。</w:t>
            </w:r>
          </w:p>
          <w:p w:rsidR="00DB427D" w:rsidRPr="00C83A9D" w:rsidRDefault="00DB427D" w:rsidP="001D0FCE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widowControl/>
              <w:spacing w:line="300" w:lineRule="exact"/>
              <w:jc w:val="center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DB427D" w:rsidTr="00C83A9D">
        <w:trPr>
          <w:trHeight w:val="567"/>
        </w:trPr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lastRenderedPageBreak/>
              <w:t>商务部分</w:t>
            </w:r>
          </w:p>
          <w:p w:rsidR="00DB427D" w:rsidRPr="00C83A9D" w:rsidRDefault="00DB427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（权重40%）</w:t>
            </w:r>
          </w:p>
        </w:tc>
        <w:tc>
          <w:tcPr>
            <w:tcW w:w="2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68F8" w:rsidRPr="00C83A9D" w:rsidRDefault="00D168F8" w:rsidP="00D168F8">
            <w:pPr>
              <w:spacing w:line="400" w:lineRule="exact"/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服务</w:t>
            </w:r>
          </w:p>
          <w:p w:rsidR="00DB427D" w:rsidRPr="00C83A9D" w:rsidRDefault="00D168F8" w:rsidP="00D168F8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评价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5" w:rsidRPr="00C83A9D" w:rsidRDefault="00E37125" w:rsidP="00E37125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125" w:rsidRPr="00C83A9D" w:rsidRDefault="00E37125" w:rsidP="00E37125">
            <w:pPr>
              <w:spacing w:line="400" w:lineRule="exact"/>
              <w:textAlignment w:val="center"/>
              <w:rPr>
                <w:rFonts w:asciiTheme="minorEastAsia" w:eastAsiaTheme="minorEastAsia" w:hAnsiTheme="minorEastAsia" w:cstheme="minorEastAsia"/>
                <w:sz w:val="21"/>
                <w:szCs w:val="21"/>
                <w:lang w:bidi="ar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投标人提供针对上述“业绩”承办相关应急演练活动验收评定或验收报告，用以说明及展示项目开展的成效，提供一个项目得1分，满分5分。</w:t>
            </w:r>
          </w:p>
          <w:p w:rsidR="00DB427D" w:rsidRPr="00C83A9D" w:rsidRDefault="00E37125" w:rsidP="00E37125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注：提供验收表/报告复印件加盖公章。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27D" w:rsidRDefault="00DB427D" w:rsidP="001D0FCE">
            <w:pPr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83A9D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社会信誉度及获奖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7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5564D0">
            <w:pPr>
              <w:spacing w:line="400" w:lineRule="exact"/>
              <w:textAlignment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  <w:lang w:bidi="ar"/>
              </w:rPr>
              <w:t>投标单位不得为“信用中国”网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</w:rPr>
              <w:t>（www.creditchina.gov.cn）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  <w:lang w:val="zh-CN"/>
              </w:rPr>
              <w:t>及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</w:rPr>
              <w:t>“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  <w:lang w:val="zh-CN"/>
              </w:rPr>
              <w:t>信用江门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</w:rPr>
              <w:t>”（http://xyjm.jiangmen.gov.cn/）</w:t>
            </w:r>
            <w:r w:rsidRPr="00C83A9D">
              <w:rPr>
                <w:rFonts w:asciiTheme="minorEastAsia" w:eastAsiaTheme="minorEastAsia" w:hAnsiTheme="minorEastAsia" w:cs="Tahoma" w:hint="eastAsia"/>
                <w:kern w:val="0"/>
                <w:sz w:val="20"/>
                <w:lang w:val="zh-CN"/>
              </w:rPr>
              <w:t>中列入失信被执行人和重大税收违法案件当事人名单的供应商</w:t>
            </w: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，得7分。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3A9D" w:rsidRDefault="00C83A9D" w:rsidP="001D0FCE">
            <w:pPr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C83A9D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Pr="00C83A9D" w:rsidRDefault="00C83A9D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（1）投标单位创作作品获得多项国家级或省级奖项，提供一份作品 1 分，最高 5 分。</w:t>
            </w:r>
          </w:p>
          <w:p w:rsidR="00C83A9D" w:rsidRPr="00C83A9D" w:rsidRDefault="00C83A9D" w:rsidP="005564D0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（2）投标单位具备《活动策划创意设计管理系统》《无人机航拍管理系统》《智能化演示动效控制系统》计算机软件著作权登记证书，提供一个得1分，最高5分。</w:t>
            </w: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（不具备不得分。）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A9D" w:rsidRDefault="00C83A9D" w:rsidP="001D0FCE">
            <w:pPr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564D0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5564D0" w:rsidRPr="00C83A9D" w:rsidRDefault="005564D0" w:rsidP="005564D0">
            <w:pPr>
              <w:spacing w:line="300" w:lineRule="exact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</w:p>
          <w:p w:rsidR="005564D0" w:rsidRPr="00C83A9D" w:rsidRDefault="005564D0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theme="minorEastAsia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团队相关</w:t>
            </w:r>
          </w:p>
          <w:p w:rsidR="005564D0" w:rsidRPr="00C83A9D" w:rsidRDefault="005564D0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theme="minorEastAsia" w:hint="eastAsia"/>
                <w:sz w:val="21"/>
                <w:szCs w:val="21"/>
              </w:rPr>
              <w:t>资质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10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投标人投入本项目的拍摄设备：</w:t>
            </w:r>
          </w:p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（1）设备技术器材具备航拍飞机、摄影机、相机、专业轨道等先进性高、功能优越性强，得5分；</w:t>
            </w:r>
          </w:p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（2）设备技术拍摄器材佳能</w:t>
            </w:r>
            <w:proofErr w:type="gramStart"/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拍摄机</w:t>
            </w:r>
            <w:proofErr w:type="gramEnd"/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先进性一般、功能优越性一般，得5分；</w:t>
            </w:r>
          </w:p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（3）设备技术器材先进性较差、功能优越性较差，得0分。</w:t>
            </w:r>
          </w:p>
          <w:p w:rsidR="005564D0" w:rsidRPr="00C83A9D" w:rsidRDefault="005564D0" w:rsidP="00E37125">
            <w:pPr>
              <w:widowControl/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（请提供相关拍摄器材发票或合同等资料证明，</w:t>
            </w: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  <w:lang w:bidi="ar"/>
              </w:rPr>
              <w:t>不具备不得分。）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Default="005564D0" w:rsidP="001D0FCE">
            <w:pPr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5564D0" w:rsidTr="00C83A9D">
        <w:trPr>
          <w:trHeight w:val="567"/>
        </w:trPr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0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1D0FCE">
            <w:pPr>
              <w:widowControl/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</w:p>
          <w:p w:rsidR="005564D0" w:rsidRPr="00C83A9D" w:rsidRDefault="005564D0" w:rsidP="001D0FCE">
            <w:pPr>
              <w:spacing w:line="300" w:lineRule="exact"/>
              <w:jc w:val="center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kern w:val="0"/>
                <w:sz w:val="21"/>
                <w:szCs w:val="21"/>
              </w:rPr>
              <w:t>5</w:t>
            </w:r>
          </w:p>
        </w:tc>
        <w:tc>
          <w:tcPr>
            <w:tcW w:w="9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（1）投标企业的投入项目团队成员具备</w:t>
            </w:r>
            <w:r w:rsidR="00F114CC"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摄影摄像专业</w:t>
            </w: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或</w:t>
            </w:r>
            <w:r w:rsidR="00F114CC"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相关专业</w:t>
            </w: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本科或以上的学历 3 名或以上得3分</w:t>
            </w:r>
            <w:r w:rsidR="00F114CC"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，否则不得分</w:t>
            </w: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；</w:t>
            </w:r>
          </w:p>
          <w:p w:rsidR="005564D0" w:rsidRPr="00C83A9D" w:rsidRDefault="005564D0" w:rsidP="00E37125">
            <w:pPr>
              <w:spacing w:line="400" w:lineRule="exact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（2）投标企业项目团队需有航拍技术的资质证明，持有航拍的执照：中国航空运动协会（AFSC）颁发的证书，得2分。</w:t>
            </w:r>
          </w:p>
          <w:p w:rsidR="005564D0" w:rsidRPr="00C83A9D" w:rsidRDefault="005564D0" w:rsidP="00E37125">
            <w:pPr>
              <w:spacing w:line="300" w:lineRule="exact"/>
              <w:jc w:val="left"/>
              <w:rPr>
                <w:rFonts w:asciiTheme="minorEastAsia" w:eastAsiaTheme="minorEastAsia" w:hAnsiTheme="minorEastAsia" w:cs="宋体"/>
                <w:kern w:val="0"/>
                <w:sz w:val="21"/>
                <w:szCs w:val="21"/>
              </w:rPr>
            </w:pPr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以上需提供团队人员的学历证（提供近3个月单位代缴</w:t>
            </w:r>
            <w:proofErr w:type="gramStart"/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社保证明</w:t>
            </w:r>
            <w:proofErr w:type="gramEnd"/>
            <w:r w:rsidRPr="00C83A9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）及在本公司任职的外部聘请证明材料。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4D0" w:rsidRDefault="005564D0" w:rsidP="001D0FCE">
            <w:pPr>
              <w:spacing w:line="300" w:lineRule="exac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</w:tbl>
    <w:p w:rsidR="00DB427D" w:rsidRDefault="00DB427D" w:rsidP="00DB427D">
      <w:pPr>
        <w:rPr>
          <w:sz w:val="24"/>
          <w:szCs w:val="24"/>
        </w:rPr>
      </w:pPr>
    </w:p>
    <w:p w:rsidR="00DB427D" w:rsidRDefault="00DB427D" w:rsidP="00DB427D">
      <w:r>
        <w:rPr>
          <w:rFonts w:hint="eastAsia"/>
          <w:sz w:val="24"/>
          <w:szCs w:val="24"/>
        </w:rPr>
        <w:t>评审人员签名：</w:t>
      </w:r>
    </w:p>
    <w:sectPr w:rsidR="00DB427D" w:rsidSect="00D168F8">
      <w:footerReference w:type="default" r:id="rId8"/>
      <w:pgSz w:w="16838" w:h="11906" w:orient="landscape"/>
      <w:pgMar w:top="1203" w:right="1440" w:bottom="1664" w:left="1440" w:header="851" w:footer="992" w:gutter="0"/>
      <w:cols w:space="720"/>
      <w:docGrid w:type="lines" w:linePitch="4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707" w:rsidRDefault="00873707">
      <w:r>
        <w:separator/>
      </w:r>
    </w:p>
  </w:endnote>
  <w:endnote w:type="continuationSeparator" w:id="0">
    <w:p w:rsidR="00873707" w:rsidRDefault="00873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17" w:rsidRDefault="00DB427D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201EC75" wp14:editId="0ED91CD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7885" cy="147955"/>
              <wp:effectExtent l="0" t="0" r="12065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788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90717" w:rsidRDefault="00E37125">
                          <w:pPr>
                            <w:pStyle w:val="a3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B4158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873707">
                            <w:fldChar w:fldCharType="begin"/>
                          </w:r>
                          <w:r w:rsidR="00873707">
                            <w:instrText xml:space="preserve"> NUMPAGES  \* MERGEFORMAT </w:instrText>
                          </w:r>
                          <w:r w:rsidR="00873707">
                            <w:fldChar w:fldCharType="separate"/>
                          </w:r>
                          <w:r w:rsidR="00B41580">
                            <w:rPr>
                              <w:noProof/>
                            </w:rPr>
                            <w:t>2</w:t>
                          </w:r>
                          <w:r w:rsidR="00873707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67.5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" filled="f" stroked="f" strokeweight=".5pt">
              <v:path arrowok="t"/>
              <v:textbox style="mso-fit-shape-to-text:t" inset="0,0,0,0">
                <w:txbxContent>
                  <w:p w:rsidR="00890717" w:rsidRDefault="00E37125">
                    <w:pPr>
                      <w:pStyle w:val="a3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B4158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873707">
                      <w:fldChar w:fldCharType="begin"/>
                    </w:r>
                    <w:r w:rsidR="00873707">
                      <w:instrText xml:space="preserve"> NUMPAGES  \* MERGEFORMAT </w:instrText>
                    </w:r>
                    <w:r w:rsidR="00873707">
                      <w:fldChar w:fldCharType="separate"/>
                    </w:r>
                    <w:r w:rsidR="00B41580">
                      <w:rPr>
                        <w:noProof/>
                      </w:rPr>
                      <w:t>2</w:t>
                    </w:r>
                    <w:r w:rsidR="00873707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707" w:rsidRDefault="00873707">
      <w:r>
        <w:separator/>
      </w:r>
    </w:p>
  </w:footnote>
  <w:footnote w:type="continuationSeparator" w:id="0">
    <w:p w:rsidR="00873707" w:rsidRDefault="008737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467799F"/>
    <w:multiLevelType w:val="singleLevel"/>
    <w:tmpl w:val="A467799F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50"/>
  <w:drawingGridVerticalSpacing w:val="41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7D"/>
    <w:rsid w:val="00042828"/>
    <w:rsid w:val="00380921"/>
    <w:rsid w:val="003A34D9"/>
    <w:rsid w:val="005564D0"/>
    <w:rsid w:val="00614D94"/>
    <w:rsid w:val="006A0F4F"/>
    <w:rsid w:val="00873707"/>
    <w:rsid w:val="00AB653E"/>
    <w:rsid w:val="00B41580"/>
    <w:rsid w:val="00C83A9D"/>
    <w:rsid w:val="00D036F5"/>
    <w:rsid w:val="00D168F8"/>
    <w:rsid w:val="00DB427D"/>
    <w:rsid w:val="00E37125"/>
    <w:rsid w:val="00F1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27D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4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427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DB427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B427D"/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4"/>
    <w:link w:val="2Char"/>
    <w:uiPriority w:val="99"/>
    <w:semiHidden/>
    <w:unhideWhenUsed/>
    <w:rsid w:val="00DB427D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DB427D"/>
    <w:rPr>
      <w:rFonts w:ascii="Times New Roman" w:eastAsia="仿宋_GB2312" w:hAnsi="Times New Roman" w:cs="Times New Roman"/>
      <w:sz w:val="30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D16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168F8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37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712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5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564D0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rsid w:val="00DB427D"/>
    <w:pPr>
      <w:widowControl w:val="0"/>
      <w:jc w:val="both"/>
    </w:pPr>
    <w:rPr>
      <w:rFonts w:ascii="Times New Roman" w:eastAsia="仿宋_GB2312" w:hAnsi="Times New Roman" w:cs="Times New Roman"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B42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DB427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Body Text Indent"/>
    <w:basedOn w:val="a"/>
    <w:link w:val="Char0"/>
    <w:uiPriority w:val="99"/>
    <w:semiHidden/>
    <w:unhideWhenUsed/>
    <w:rsid w:val="00DB427D"/>
    <w:pPr>
      <w:spacing w:after="120"/>
      <w:ind w:leftChars="200" w:left="420"/>
    </w:pPr>
  </w:style>
  <w:style w:type="character" w:customStyle="1" w:styleId="Char0">
    <w:name w:val="正文文本缩进 Char"/>
    <w:basedOn w:val="a0"/>
    <w:link w:val="a4"/>
    <w:uiPriority w:val="99"/>
    <w:semiHidden/>
    <w:rsid w:val="00DB427D"/>
    <w:rPr>
      <w:rFonts w:ascii="Times New Roman" w:eastAsia="仿宋_GB2312" w:hAnsi="Times New Roman" w:cs="Times New Roman"/>
      <w:sz w:val="30"/>
      <w:szCs w:val="20"/>
    </w:rPr>
  </w:style>
  <w:style w:type="paragraph" w:styleId="2">
    <w:name w:val="Body Text First Indent 2"/>
    <w:basedOn w:val="a4"/>
    <w:link w:val="2Char"/>
    <w:uiPriority w:val="99"/>
    <w:semiHidden/>
    <w:unhideWhenUsed/>
    <w:rsid w:val="00DB427D"/>
    <w:pPr>
      <w:ind w:firstLineChars="200" w:firstLine="420"/>
    </w:pPr>
  </w:style>
  <w:style w:type="character" w:customStyle="1" w:styleId="2Char">
    <w:name w:val="正文首行缩进 2 Char"/>
    <w:basedOn w:val="Char0"/>
    <w:link w:val="2"/>
    <w:uiPriority w:val="99"/>
    <w:semiHidden/>
    <w:rsid w:val="00DB427D"/>
    <w:rPr>
      <w:rFonts w:ascii="Times New Roman" w:eastAsia="仿宋_GB2312" w:hAnsi="Times New Roman" w:cs="Times New Roman"/>
      <w:sz w:val="30"/>
      <w:szCs w:val="20"/>
    </w:rPr>
  </w:style>
  <w:style w:type="paragraph" w:styleId="HTML">
    <w:name w:val="HTML Preformatted"/>
    <w:basedOn w:val="a"/>
    <w:link w:val="HTMLChar"/>
    <w:uiPriority w:val="99"/>
    <w:unhideWhenUsed/>
    <w:qFormat/>
    <w:rsid w:val="00D168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rsid w:val="00D168F8"/>
    <w:rPr>
      <w:rFonts w:ascii="宋体" w:eastAsia="宋体" w:hAnsi="宋体" w:cs="Times New Roman"/>
      <w:kern w:val="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E3712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37125"/>
    <w:rPr>
      <w:rFonts w:ascii="Times New Roman" w:eastAsia="仿宋_GB2312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unhideWhenUsed/>
    <w:rsid w:val="005564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rsid w:val="005564D0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202</Words>
  <Characters>1156</Characters>
  <Application>Microsoft Office Word</Application>
  <DocSecurity>0</DocSecurity>
  <Lines>9</Lines>
  <Paragraphs>2</Paragraphs>
  <ScaleCrop>false</ScaleCrop>
  <Company>Microsoft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余思桦</dc:creator>
  <cp:lastModifiedBy>曾文静</cp:lastModifiedBy>
  <cp:revision>5</cp:revision>
  <cp:lastPrinted>2021-07-06T08:27:00Z</cp:lastPrinted>
  <dcterms:created xsi:type="dcterms:W3CDTF">2021-06-24T08:32:00Z</dcterms:created>
  <dcterms:modified xsi:type="dcterms:W3CDTF">2021-07-06T08:27:00Z</dcterms:modified>
</cp:coreProperties>
</file>